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기술사양서</w:t>
      </w:r>
    </w:p>
    <w:p>
      <w:pPr>
        <w:pStyle w:val="Subtitle"/>
      </w:pPr>
      <w:r>
        <w:t>CPF Runtime·모듈·Public Surface·운영 연계의 구현 사양을 검수하는 문서</w:t>
      </w:r>
    </w:p>
    <w:p>
      <w:pPr>
        <w:spacing w:before="24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223A5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누가 보는가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223A57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아키텍트·기술 검수자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이 문서로 끝낼 일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sz w:val="17"/>
              </w:rPr>
              <w:t>실행 기준·Deployable·Public/Internal 경계와 기술 Acceptance를 Source 정본과 대조한다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F5F8FB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기준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r>
              <w:rPr>
                <w:color w:val="26374C"/>
                <w:sz w:val="16"/>
              </w:rPr>
              <w:t>Harness 2.3.0 · Source A5B7844665F4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Runtime/Build 기준선을 대조합니다.</w:t>
      </w:r>
    </w:p>
    <w:p>
      <w:pPr>
        <w:pStyle w:val="ListBullet"/>
        <w:spacing w:after="60"/>
        <w:ind w:left="283"/>
      </w:pPr>
      <w:r>
        <w:t>Owner·Deployable과 Public/Internal 경계를 검수합니다.</w:t>
      </w:r>
    </w:p>
    <w:p>
      <w:pPr>
        <w:pStyle w:val="ListBullet"/>
        <w:spacing w:after="60"/>
        <w:ind w:left="283"/>
      </w:pPr>
      <w:r>
        <w:t>DB3·Topology·Operations·Failure Acceptance를 확인합니다.</w:t>
      </w:r>
    </w:p>
    <w:p>
      <w:r>
        <w:br w:type="page"/>
      </w:r>
    </w:p>
    <w:p>
      <w:pPr>
        <w:pStyle w:val="Heading1"/>
        <w:keepNext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spacing w:after="60"/>
        <w:ind w:left="259"/>
      </w:pPr>
      <w:r>
        <w:rPr>
          <w:b/>
          <w:color w:val="1F3349"/>
          <w:sz w:val="21"/>
        </w:rPr>
        <w:t>1 Runtime · Build 기준선</w:t>
      </w:r>
    </w:p>
    <w:p>
      <w:pPr>
        <w:spacing w:after="60"/>
        <w:ind w:left="259"/>
      </w:pPr>
      <w:r>
        <w:rPr>
          <w:b/>
          <w:color w:val="1F3349"/>
          <w:sz w:val="21"/>
        </w:rPr>
        <w:t>2 제품 모듈 · 실행 단위</w:t>
      </w:r>
    </w:p>
    <w:p>
      <w:pPr>
        <w:spacing w:after="60"/>
        <w:ind w:left="259"/>
      </w:pPr>
      <w:r>
        <w:rPr>
          <w:b/>
          <w:color w:val="1F3349"/>
          <w:sz w:val="21"/>
        </w:rPr>
        <w:t>3 Public Surface · 설정 경계</w:t>
      </w:r>
    </w:p>
    <w:p>
      <w:pPr>
        <w:spacing w:after="60"/>
        <w:ind w:left="259"/>
      </w:pPr>
      <w:r>
        <w:rPr>
          <w:b/>
          <w:color w:val="1F3349"/>
          <w:sz w:val="21"/>
        </w:rPr>
        <w:t>4 Runtime Identity · 운영 연계</w:t>
      </w:r>
    </w:p>
    <w:p>
      <w:pPr>
        <w:spacing w:after="60"/>
        <w:ind w:left="259"/>
      </w:pPr>
      <w:r>
        <w:rPr>
          <w:b/>
          <w:color w:val="1F3349"/>
          <w:sz w:val="21"/>
        </w:rPr>
        <w:t>5 기술 Acceptance Matrix</w:t>
      </w:r>
    </w:p>
    <w:p>
      <w:r>
        <w:br w:type="page"/>
      </w:r>
    </w:p>
    <w:p>
      <w:pPr>
        <w:pStyle w:val="Heading1"/>
        <w:keepNext/>
      </w:pPr>
      <w:r>
        <w:t>1 Runtime · Build 기준선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배포와 검수에서 실제 실행 기준을 빠르게 대조합니다.</w:t>
      </w:r>
    </w:p>
    <w:p>
      <w:pPr>
        <w:pStyle w:val="CPFLabel"/>
      </w:pPr>
      <w:r>
        <w:t>실행 기준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정본/버전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검수 포인트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Java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25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빌드·Runtime 동일 Major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Gradle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9.1.0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Wrapper 기준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Spring Boot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4.1.0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Starter/AutoConfiguration 호환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Spring Cloud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2025.1.2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Remote/Integration 호환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Spring Batch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6.0.4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 Runtime 호환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Servlet Spec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6.1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Web Runtime 계약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공식 DB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Oracle / PostgreSQL / MariaDB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DDL·Migration·Runtime·Recovery parity</w:t>
            </w:r>
          </w:p>
        </w:tc>
      </w:tr>
    </w:tbl>
    <w:p>
      <w:pPr>
        <w:spacing w:before="60" w:after="160"/>
        <w:ind w:left="255" w:right="113"/>
      </w:pPr>
      <w:r>
        <w:rPr>
          <w:color w:val="3467A9"/>
          <w:sz w:val="16"/>
        </w:rPr>
        <w:t>Source: gradle/cpf-stack.properties</w:t>
      </w:r>
    </w:p>
    <w:p>
      <w:pPr>
        <w:pStyle w:val="Heading1"/>
        <w:keepNext/>
      </w:pPr>
      <w:r>
        <w:t>2 제품 모듈 · 실행 단위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어떤 Artifact가 무엇을 소유하고 무엇이 독립 Runtime인지 검수합니다.</w:t>
      </w:r>
    </w:p>
    <w:p>
      <w:pPr>
        <w:pStyle w:val="CPFLabel"/>
      </w:pPr>
      <w:r>
        <w:t>Owner / Deployable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185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444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Owner/Artifact</w:t>
            </w:r>
          </w:p>
        </w:tc>
        <w:tc>
          <w:tcPr>
            <w:tcW w:type="dxa" w:w="306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실행 형태</w:t>
            </w:r>
          </w:p>
        </w:tc>
        <w:tc>
          <w:tcPr>
            <w:tcW w:type="dxa" w:w="5888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기술 검수 포인트</w:t>
            </w:r>
          </w:p>
        </w:tc>
      </w:tr>
      <w:tr>
        <w:trPr>
          <w:cantSplit/>
        </w:trPr>
        <w:tc>
          <w:tcPr>
            <w:tcW w:type="dxa" w:w="1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기술 핵심</w:t>
            </w:r>
          </w:p>
        </w:tc>
        <w:tc>
          <w:tcPr>
            <w:tcW w:type="dxa" w:w="44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cpf-core</w:t>
            </w:r>
          </w:p>
        </w:tc>
        <w:tc>
          <w:tcPr>
            <w:tcW w:type="dxa" w:w="30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Library</w:t>
            </w:r>
          </w:p>
        </w:tc>
        <w:tc>
          <w:tcPr>
            <w:tcW w:type="dxa" w:w="5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topology-independent 계약만</w:t>
            </w:r>
          </w:p>
        </w:tc>
      </w:tr>
      <w:tr>
        <w:trPr>
          <w:cantSplit/>
        </w:trPr>
        <w:tc>
          <w:tcPr>
            <w:tcW w:type="dxa" w:w="1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공통</w:t>
            </w:r>
          </w:p>
        </w:tc>
        <w:tc>
          <w:tcPr>
            <w:tcW w:type="dxa" w:w="44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cpf-common</w:t>
            </w:r>
          </w:p>
        </w:tc>
        <w:tc>
          <w:tcPr>
            <w:tcW w:type="dxa" w:w="30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Library</w:t>
            </w:r>
          </w:p>
        </w:tc>
        <w:tc>
          <w:tcPr>
            <w:tcW w:type="dxa" w:w="5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고객 업무 공통 계약</w:t>
            </w:r>
          </w:p>
        </w:tc>
      </w:tr>
      <w:tr>
        <w:trPr>
          <w:cantSplit/>
        </w:trPr>
        <w:tc>
          <w:tcPr>
            <w:tcW w:type="dxa" w:w="1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플랫폼 운영</w:t>
            </w:r>
          </w:p>
        </w:tc>
        <w:tc>
          <w:tcPr>
            <w:tcW w:type="dxa" w:w="44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cpf-admin</w:t>
            </w:r>
          </w:p>
        </w:tc>
        <w:tc>
          <w:tcPr>
            <w:tcW w:type="dxa" w:w="30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Runtime/관리 Surface</w:t>
            </w:r>
          </w:p>
        </w:tc>
        <w:tc>
          <w:tcPr>
            <w:tcW w:type="dxa" w:w="5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운영·감사·제어</w:t>
            </w:r>
          </w:p>
        </w:tc>
      </w:tr>
      <w:tr>
        <w:trPr>
          <w:cantSplit/>
        </w:trPr>
        <w:tc>
          <w:tcPr>
            <w:tcW w:type="dxa" w:w="1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관리자</w:t>
            </w:r>
          </w:p>
        </w:tc>
        <w:tc>
          <w:tcPr>
            <w:tcW w:type="dxa" w:w="44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cpf-backoffice</w:t>
            </w:r>
          </w:p>
        </w:tc>
        <w:tc>
          <w:tcPr>
            <w:tcW w:type="dxa" w:w="30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선택 Runtime/BFF</w:t>
            </w:r>
          </w:p>
        </w:tc>
        <w:tc>
          <w:tcPr>
            <w:tcW w:type="dxa" w:w="5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 Owner 아님, 제거 가능</w:t>
            </w:r>
          </w:p>
        </w:tc>
      </w:tr>
      <w:tr>
        <w:trPr>
          <w:cantSplit/>
        </w:trPr>
        <w:tc>
          <w:tcPr>
            <w:tcW w:type="dxa" w:w="1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</w:t>
            </w:r>
          </w:p>
        </w:tc>
        <w:tc>
          <w:tcPr>
            <w:tcW w:type="dxa" w:w="44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cpf-batch</w:t>
            </w:r>
          </w:p>
        </w:tc>
        <w:tc>
          <w:tcPr>
            <w:tcW w:type="dxa" w:w="30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Library + 독립 Runtime</w:t>
            </w:r>
          </w:p>
        </w:tc>
        <w:tc>
          <w:tcPr>
            <w:tcW w:type="dxa" w:w="5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control-plane/scheduler/worker/center-cut/agent</w:t>
            </w:r>
          </w:p>
        </w:tc>
      </w:tr>
      <w:tr>
        <w:trPr>
          <w:cantSplit/>
        </w:trPr>
        <w:tc>
          <w:tcPr>
            <w:tcW w:type="dxa" w:w="1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Generated Domain</w:t>
            </w:r>
          </w:p>
        </w:tc>
        <w:tc>
          <w:tcPr>
            <w:tcW w:type="dxa" w:w="44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cpf-&lt;domain&gt;</w:t>
            </w:r>
          </w:p>
        </w:tc>
        <w:tc>
          <w:tcPr>
            <w:tcW w:type="dxa" w:w="30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Online/선택 Batch</w:t>
            </w:r>
          </w:p>
        </w:tc>
        <w:tc>
          <w:tcPr>
            <w:tcW w:type="dxa" w:w="5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Public Starter만 직접 참조</w:t>
            </w:r>
          </w:p>
        </w:tc>
      </w:tr>
      <w:tr>
        <w:trPr>
          <w:cantSplit/>
        </w:trPr>
        <w:tc>
          <w:tcPr>
            <w:tcW w:type="dxa" w:w="18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Gateway</w:t>
            </w:r>
          </w:p>
        </w:tc>
        <w:tc>
          <w:tcPr>
            <w:tcW w:type="dxa" w:w="444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선택 Edge</w:t>
            </w:r>
          </w:p>
        </w:tc>
        <w:tc>
          <w:tcPr>
            <w:tcW w:type="dxa" w:w="30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 Entry</w:t>
            </w:r>
          </w:p>
        </w:tc>
        <w:tc>
          <w:tcPr>
            <w:tcW w:type="dxa" w:w="588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내부 Domain 호출 경로가 아님</w:t>
            </w:r>
          </w:p>
        </w:tc>
      </w:tr>
    </w:tbl>
    <w:p>
      <w:pPr>
        <w:pStyle w:val="Heading1"/>
        <w:keepNext/>
      </w:pPr>
      <w:r>
        <w:t>3 Public Surface · 설정 경계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Consumer가 실제로 의존할 Surface와 내부 구현을 구분합니다.</w:t>
      </w:r>
    </w:p>
    <w:p>
      <w:pPr>
        <w:pStyle w:val="CPFLabel"/>
      </w:pPr>
      <w:r>
        <w:t>Public Surface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대표 Surface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검수 기준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Web/Service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@CpfController / @CpfService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진입·규칙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Persistence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@CpfRepository / CpfCrudRepository / @CpfTransactional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Owner DB, Local Tx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Domain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CpfDomainClient / @CpfOnlineTransaction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Same JVM/Remote 동일 업무 계약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Reliability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CpfResult / @CpfRetry / @CpfTimeout / @CpfIdempotent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UNKNOWN·Retry·중복 처리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Integration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@CpfClient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 경계·실패 정책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Async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CpfMessagingTemplate / @CpfMessageListener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Context·Idempotency·Replay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Security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@CpfPermission / @CpfApprovalRequired / @CpfAudit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권한·승인·감사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@CpfBatchJob / @CpfBatchStep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Job/Step 계약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경계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Public BOM/Starter에서 Internal Leaf를 노출하지 않고, 외부 모듈이 Internal package를 직접 참조하지 않는지 확인합니다.</w:t>
            </w:r>
          </w:p>
        </w:tc>
      </w:tr>
    </w:tbl>
    <w:p>
      <w:pPr>
        <w:pStyle w:val="Heading1"/>
        <w:keepNext/>
      </w:pPr>
      <w:r>
        <w:t>4 Runtime Identity · 운영 연계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실행 후 추적과 운영 제어에 필요한 기술 필드를 대조합니다.</w:t>
      </w:r>
    </w:p>
    <w:p>
      <w:pPr>
        <w:pStyle w:val="CPFLabel"/>
      </w:pPr>
      <w:r>
        <w:t>Runtime Identity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역할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전파/관찰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transactionId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거래 전체 식별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System6·Trace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operationId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Operation 단일 정본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Annotation/OpenAPI/Header/Client/ADM/Log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instanceId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현재 Runtime Instance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Header 제외, Runtime/ADM/Log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systemCode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현재 System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System6 hop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originalSystemCode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최초 System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불변</w:t>
            </w:r>
          </w:p>
        </w:tc>
      </w:tr>
    </w:tbl>
    <w:p>
      <w:pPr>
        <w:pStyle w:val="ListBullet"/>
        <w:spacing w:after="40"/>
        <w:ind w:left="454" w:hanging="198"/>
      </w:pPr>
      <w:r>
        <w:t>Same JVM은 Context/in-process를 사용하고 self-HTTP를 만들지 않습니다.</w:t>
      </w:r>
    </w:p>
    <w:p>
      <w:pPr>
        <w:pStyle w:val="ListBullet"/>
        <w:spacing w:after="40"/>
        <w:ind w:left="454" w:hanging="198"/>
      </w:pPr>
      <w:r>
        <w:t>Remote Domain은 System6/Transport를 사용하되 Gateway를 경유시키지 않습니다.</w:t>
      </w:r>
    </w:p>
    <w:p>
      <w:pPr>
        <w:pStyle w:val="ListBullet"/>
        <w:spacing w:after="40"/>
        <w:ind w:left="454" w:hanging="198"/>
      </w:pPr>
      <w:r>
        <w:t>외부 경계에는 Canonical 내부 Header6를 그대로 전달하지 않습니다.</w:t>
      </w:r>
    </w:p>
    <w:p>
      <w:pPr>
        <w:pStyle w:val="Heading1"/>
        <w:keepNext/>
      </w:pPr>
      <w:r>
        <w:t>5 기술 Acceptance Matrix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제품 사양이 문서에만 존재하지 않고 실제 Source·Runtime·DB3까지 닫혔는지 검수합니다.</w:t>
      </w:r>
    </w:p>
    <w:p>
      <w:pPr>
        <w:pStyle w:val="CPFLabel"/>
      </w:pPr>
      <w:r>
        <w:t>Acceptance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검수 항목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PASS 조건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Build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Wrapper 기준 compile/test 성공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Starter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Public Surface→AutoConfiguration→실제 Consumer 연결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Topology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Same JVM/Remote 계약 parity, self-HTTP 0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DB3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Oracle/PostgreSQL/MariaDB Install/Upgrade/Recovery/Runtime parity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Generator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Canonical 입력→fresh generation→compile/test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Operations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transactionId/operationId/instanceId 추적 가능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Security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Permission/Reason/Approval/Audit 및 Secret/PII 원문 0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Failure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Timeout/Retry/UNKNOWN/Reconcile 경로 존재</w:t>
            </w:r>
          </w:p>
        </w:tc>
      </w:tr>
      <w:tr>
        <w:trPr>
          <w:cantSplit/>
        </w:trPr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Evidence</w:t>
            </w:r>
          </w:p>
        </w:tc>
        <w:tc>
          <w:tcPr>
            <w:tcW w:type="dxa" w:w="1143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실행 명령·ExitCode·Source SHA와 결과 일치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기술사양서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2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