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/>
      </w:pPr>
      <w:r>
        <w:rPr>
          <w:rFonts w:ascii="Noto Sans KR" w:hAnsi="Noto Sans KR"/>
          <w:b/>
          <w:color w:val="00B882"/>
          <w:sz w:val="22"/>
        </w:rPr>
        <w:t>CORE PLATFORM FRAMEWORK</w:t>
      </w:r>
    </w:p>
    <w:p>
      <w:pPr>
        <w:pStyle w:val="Title"/>
      </w:pPr>
      <w:r>
        <w:t>데이터베이스표준서</w:t>
      </w:r>
    </w:p>
    <w:p>
      <w:pPr>
        <w:pStyle w:val="Subtitle"/>
      </w:pPr>
      <w:r>
        <w:t>Oracle·PostgreSQL·MariaDB의 Schema·Migration·Recovery 표준</w:t>
      </w:r>
    </w:p>
    <w:p>
      <w:pPr>
        <w:spacing w:before="240"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3660"/>
            <w:tcMar>
              <w:top w:w="90" w:type="dxa"/>
              <w:start w:w="100" w:type="dxa"/>
              <w:bottom w:w="90" w:type="dxa"/>
              <w:end w:w="100" w:type="dxa"/>
            </w:tcMar>
            <w:shd w:fill="223A57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누가 보는가</w:t>
            </w:r>
          </w:p>
        </w:tc>
        <w:tc>
          <w:tcPr>
            <w:tcW w:type="dxa" w:w="1159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223A57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DBA·Backend 개발자·운영자</w:t>
            </w:r>
          </w:p>
        </w:tc>
      </w:tr>
      <w:tr>
        <w:tc>
          <w:tcPr>
            <w:tcW w:type="dxa" w:w="3660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7"/>
              </w:rPr>
              <w:t>이 문서로 끝낼 일</w:t>
            </w:r>
          </w:p>
        </w:tc>
        <w:tc>
          <w:tcPr>
            <w:tcW w:type="dxa" w:w="1159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sz w:val="17"/>
              </w:rPr>
              <w:t>DB 변경을 Canonical Source부터 Runtime/Recovery까지 안전하게 끝낸다</w:t>
            </w:r>
          </w:p>
        </w:tc>
      </w:tr>
      <w:tr>
        <w:tc>
          <w:tcPr>
            <w:tcW w:type="dxa" w:w="3660"/>
            <w:tcMar>
              <w:top w:w="90" w:type="dxa"/>
              <w:start w:w="100" w:type="dxa"/>
              <w:bottom w:w="90" w:type="dxa"/>
              <w:end w:w="100" w:type="dxa"/>
            </w:tcMar>
            <w:shd w:fill="F5F8FB"/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7"/>
              </w:rPr>
              <w:t>기준</w:t>
            </w:r>
          </w:p>
        </w:tc>
        <w:tc>
          <w:tcPr>
            <w:tcW w:type="dxa" w:w="1159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r>
              <w:rPr>
                <w:color w:val="26374C"/>
                <w:sz w:val="16"/>
              </w:rPr>
              <w:t>Harness 2.3.0 · Source A5B7844665F4 · Oracle/PostgreSQL/MariaDB</w:t>
            </w:r>
          </w:p>
        </w:tc>
      </w:tr>
    </w:tbl>
    <w:p>
      <w:pPr>
        <w:spacing w:before="200"/>
      </w:pPr>
    </w:p>
    <w:p>
      <w:pPr>
        <w:pStyle w:val="ListBullet"/>
        <w:spacing w:after="60"/>
        <w:ind w:left="283"/>
      </w:pPr>
      <w:r>
        <w:t>DB3만 공식 Vendor로 사용합니다.</w:t>
      </w:r>
    </w:p>
    <w:p>
      <w:pPr>
        <w:pStyle w:val="ListBullet"/>
        <w:spacing w:after="60"/>
        <w:ind w:left="283"/>
      </w:pPr>
      <w:r>
        <w:t>Migration 전 dry-run과 plan hash를 검토합니다.</w:t>
      </w:r>
    </w:p>
    <w:p>
      <w:pPr>
        <w:pStyle w:val="ListBullet"/>
        <w:spacing w:after="60"/>
        <w:ind w:left="283"/>
      </w:pPr>
      <w:r>
        <w:t>Vendor별 Lock/Index/DDL 차이를 실제 검증합니다.</w:t>
      </w:r>
    </w:p>
    <w:p>
      <w:r>
        <w:br w:type="page"/>
      </w:r>
    </w:p>
    <w:p>
      <w:pPr>
        <w:pStyle w:val="Heading1"/>
        <w:keepNext/>
      </w:pPr>
      <w:r>
        <w:t>찾아보기</w:t>
      </w:r>
    </w:p>
    <w:p>
      <w:pPr>
        <w:spacing w:after="100"/>
      </w:pPr>
      <w:r>
        <w:t>필요한 작업을 먼저 찾고 해당 장으로 이동합니다. 페이지 번호는 최종 PDF 기준입니다.</w:t>
      </w:r>
    </w:p>
    <w:p>
      <w:pPr>
        <w:spacing w:after="60"/>
        <w:ind w:left="259"/>
      </w:pPr>
      <w:r>
        <w:rPr>
          <w:b/>
          <w:color w:val="1F3349"/>
          <w:sz w:val="21"/>
        </w:rPr>
        <w:t>1 DB3를 선택하고 준비하기</w:t>
      </w:r>
    </w:p>
    <w:p>
      <w:pPr>
        <w:spacing w:after="60"/>
        <w:ind w:left="259"/>
      </w:pPr>
      <w:r>
        <w:rPr>
          <w:b/>
          <w:color w:val="1F3349"/>
          <w:sz w:val="21"/>
        </w:rPr>
        <w:t>2 Schema · Table · Key · Index</w:t>
      </w:r>
    </w:p>
    <w:p>
      <w:pPr>
        <w:spacing w:after="60"/>
        <w:ind w:left="259"/>
      </w:pPr>
      <w:r>
        <w:rPr>
          <w:b/>
          <w:color w:val="1F3349"/>
          <w:sz w:val="21"/>
        </w:rPr>
        <w:t>3 Migration Lifecycle</w:t>
      </w:r>
    </w:p>
    <w:p>
      <w:pPr>
        <w:spacing w:after="60"/>
        <w:ind w:left="259"/>
      </w:pPr>
      <w:r>
        <w:rPr>
          <w:b/>
          <w:color w:val="1F3349"/>
          <w:sz w:val="21"/>
        </w:rPr>
        <w:t>4 Transaction · Lock · Paging</w:t>
      </w:r>
    </w:p>
    <w:p>
      <w:pPr>
        <w:spacing w:after="60"/>
        <w:ind w:left="259"/>
      </w:pPr>
      <w:r>
        <w:rPr>
          <w:b/>
          <w:color w:val="1F3349"/>
          <w:sz w:val="21"/>
        </w:rPr>
        <w:t>5 운영 변경과 복구</w:t>
      </w:r>
    </w:p>
    <w:p>
      <w:r>
        <w:br w:type="page"/>
      </w:r>
    </w:p>
    <w:p>
      <w:pPr>
        <w:pStyle w:val="Heading1"/>
        <w:keepNext/>
      </w:pPr>
      <w:r>
        <w:t>1 DB3를 선택하고 준비하기</w:t>
      </w:r>
    </w:p>
    <w:p>
      <w:pPr>
        <w:spacing w:before="80" w:after="200"/>
        <w:ind w:left="173" w:right="58"/>
        <w:shd w:fill="F3F7FB"/>
        <w:pBdr>
          <w:left w:val="single" w:sz="18" w:space="8" w:color="4F46E5"/>
        </w:pBdr>
      </w:pPr>
      <w:r>
        <w:rPr>
          <w:b/>
          <w:color w:val="362D91"/>
          <w:sz w:val="20"/>
        </w:rPr>
        <w:t xml:space="preserve">이 장을 보는 이유  </w:t>
      </w:r>
      <w:r>
        <w:rPr>
          <w:color w:val="26374C"/>
          <w:sz w:val="20"/>
        </w:rPr>
        <w:t>공식 Vendor 중 하나를 선택해도 Canonical Source와 3 Vendor parity는 유지합니다.</w:t>
      </w:r>
    </w:p>
    <w:p>
      <w:pPr>
        <w:pStyle w:val="CPFLabel"/>
      </w:pPr>
      <w:r>
        <w:t>공식 Vendor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3812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Vendor</w:t>
            </w:r>
          </w:p>
        </w:tc>
        <w:tc>
          <w:tcPr>
            <w:tcW w:type="dxa" w:w="11437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개발/검증</w:t>
            </w:r>
          </w:p>
        </w:tc>
      </w:tr>
      <w:tr>
        <w:trPr>
          <w:cantSplit/>
        </w:trPr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Oracle</w:t>
            </w:r>
          </w:p>
        </w:tc>
        <w:tc>
          <w:tcPr>
            <w:tcW w:type="dxa" w:w="114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DDL/Migration/Runtime/Recovery</w:t>
            </w:r>
          </w:p>
        </w:tc>
      </w:tr>
      <w:tr>
        <w:trPr>
          <w:cantSplit/>
        </w:trPr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PostgreSQL</w:t>
            </w:r>
          </w:p>
        </w:tc>
        <w:tc>
          <w:tcPr>
            <w:tcW w:type="dxa" w:w="114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DDL/Migration/Runtime/Recovery</w:t>
            </w:r>
          </w:p>
        </w:tc>
      </w:tr>
      <w:tr>
        <w:trPr>
          <w:cantSplit/>
        </w:trPr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MariaDB</w:t>
            </w:r>
          </w:p>
        </w:tc>
        <w:tc>
          <w:tcPr>
            <w:tcW w:type="dxa" w:w="114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DDL/Migration/Runtime/Recovery</w:t>
            </w:r>
          </w:p>
        </w:tc>
      </w:tr>
    </w:tbl>
    <w:p>
      <w:pPr>
        <w:pStyle w:val="Heading1"/>
        <w:keepNext/>
      </w:pPr>
      <w:r>
        <w:t>2 Schema · Table · Key · Index</w:t>
      </w:r>
    </w:p>
    <w:p>
      <w:pPr>
        <w:spacing w:before="80" w:after="200"/>
        <w:ind w:left="173" w:right="58"/>
        <w:shd w:fill="F3F7FB"/>
        <w:pBdr>
          <w:left w:val="single" w:sz="18" w:space="8" w:color="4F46E5"/>
        </w:pBdr>
      </w:pPr>
      <w:r>
        <w:rPr>
          <w:b/>
          <w:color w:val="362D91"/>
          <w:sz w:val="20"/>
        </w:rPr>
        <w:t xml:space="preserve">이 장을 보는 이유  </w:t>
      </w:r>
      <w:r>
        <w:rPr>
          <w:color w:val="26374C"/>
          <w:sz w:val="20"/>
        </w:rPr>
        <w:t>업무 원장과 운영 원장의 Owner/FK/Index를 Runtime Query와 함께 설계합니다.</w:t>
      </w:r>
    </w:p>
    <w:p>
      <w:pPr>
        <w:pStyle w:val="CPFLabel"/>
      </w:pPr>
      <w:r>
        <w:t>설계 Check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3812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11437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확인</w:t>
            </w:r>
          </w:p>
        </w:tc>
      </w:tr>
      <w:tr>
        <w:trPr>
          <w:cantSplit/>
        </w:trPr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Table</w:t>
            </w:r>
          </w:p>
        </w:tc>
        <w:tc>
          <w:tcPr>
            <w:tcW w:type="dxa" w:w="114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Owner/목적/보존/민감도</w:t>
            </w:r>
          </w:p>
        </w:tc>
      </w:tr>
      <w:tr>
        <w:trPr>
          <w:cantSplit/>
        </w:trPr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PK/UK</w:t>
            </w:r>
          </w:p>
        </w:tc>
        <w:tc>
          <w:tcPr>
            <w:tcW w:type="dxa" w:w="114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업무키/멱등키/중복 방지</w:t>
            </w:r>
          </w:p>
        </w:tc>
      </w:tr>
      <w:tr>
        <w:trPr>
          <w:cantSplit/>
        </w:trPr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FK</w:t>
            </w:r>
          </w:p>
        </w:tc>
        <w:tc>
          <w:tcPr>
            <w:tcW w:type="dxa" w:w="114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Owner 경계와 lifecycle</w:t>
            </w:r>
          </w:p>
        </w:tc>
      </w:tr>
      <w:tr>
        <w:trPr>
          <w:cantSplit/>
        </w:trPr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Index</w:t>
            </w:r>
          </w:p>
        </w:tc>
        <w:tc>
          <w:tcPr>
            <w:tcW w:type="dxa" w:w="114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실제 조회/정렬/lock plan</w:t>
            </w:r>
          </w:p>
        </w:tc>
      </w:tr>
      <w:tr>
        <w:trPr>
          <w:cantSplit/>
        </w:trPr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Metadata</w:t>
            </w:r>
          </w:p>
        </w:tc>
        <w:tc>
          <w:tcPr>
            <w:tcW w:type="dxa" w:w="114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Schema version/migration history</w:t>
            </w:r>
          </w:p>
        </w:tc>
      </w:tr>
      <w:tr>
        <w:trPr>
          <w:cantSplit/>
        </w:trPr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Audit fields</w:t>
            </w:r>
          </w:p>
        </w:tc>
        <w:tc>
          <w:tcPr>
            <w:tcW w:type="dxa" w:w="114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생성/변경/실행 추적</w:t>
            </w:r>
          </w:p>
        </w:tc>
      </w:tr>
    </w:tbl>
    <w:p>
      <w:pPr>
        <w:pStyle w:val="Heading1"/>
        <w:keepNext/>
      </w:pPr>
      <w:r>
        <w:t>3 Migration Lifecycle</w:t>
      </w:r>
    </w:p>
    <w:p>
      <w:pPr>
        <w:spacing w:before="80" w:after="200"/>
        <w:ind w:left="173" w:right="58"/>
        <w:shd w:fill="F3F7FB"/>
        <w:pBdr>
          <w:left w:val="single" w:sz="18" w:space="8" w:color="4F46E5"/>
        </w:pBdr>
      </w:pPr>
      <w:r>
        <w:rPr>
          <w:b/>
          <w:color w:val="362D91"/>
          <w:sz w:val="20"/>
        </w:rPr>
        <w:t xml:space="preserve">이 장을 보는 이유  </w:t>
      </w:r>
      <w:r>
        <w:rPr>
          <w:color w:val="26374C"/>
          <w:sz w:val="20"/>
        </w:rPr>
        <w:t>단일 SQL 수정이 아니라 Install→Upgrade→Rollback/Recovery→Runtime까지 닫습니다.</w:t>
      </w:r>
    </w:p>
    <w:p>
      <w:pPr>
        <w:pStyle w:val="CPFLabel"/>
      </w:pPr>
      <w:r>
        <w:t>Lifecycle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7625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단계</w:t>
            </w:r>
          </w:p>
        </w:tc>
        <w:tc>
          <w:tcPr>
            <w:tcW w:type="dxa" w:w="7625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필수</w:t>
            </w:r>
          </w:p>
        </w:tc>
      </w:tr>
      <w:tr>
        <w:trPr>
          <w:cantSplit/>
        </w:trPr>
        <w:tc>
          <w:tcPr>
            <w:tcW w:type="dxa" w:w="762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Canonical Source</w:t>
            </w:r>
          </w:p>
        </w:tc>
        <w:tc>
          <w:tcPr>
            <w:tcW w:type="dxa" w:w="762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단일 정의</w:t>
            </w:r>
          </w:p>
        </w:tc>
      </w:tr>
      <w:tr>
        <w:trPr>
          <w:cantSplit/>
        </w:trPr>
        <w:tc>
          <w:tcPr>
            <w:tcW w:type="dxa" w:w="762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Fresh Init</w:t>
            </w:r>
          </w:p>
        </w:tc>
        <w:tc>
          <w:tcPr>
            <w:tcW w:type="dxa" w:w="762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빈 환경 준비</w:t>
            </w:r>
          </w:p>
        </w:tc>
      </w:tr>
      <w:tr>
        <w:trPr>
          <w:cantSplit/>
        </w:trPr>
        <w:tc>
          <w:tcPr>
            <w:tcW w:type="dxa" w:w="762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Vendor Render</w:t>
            </w:r>
          </w:p>
        </w:tc>
        <w:tc>
          <w:tcPr>
            <w:tcW w:type="dxa" w:w="762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Oracle/PostgreSQL/MariaDB</w:t>
            </w:r>
          </w:p>
        </w:tc>
      </w:tr>
      <w:tr>
        <w:trPr>
          <w:cantSplit/>
        </w:trPr>
        <w:tc>
          <w:tcPr>
            <w:tcW w:type="dxa" w:w="762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Migration</w:t>
            </w:r>
          </w:p>
        </w:tc>
        <w:tc>
          <w:tcPr>
            <w:tcW w:type="dxa" w:w="762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버전 전이</w:t>
            </w:r>
          </w:p>
        </w:tc>
      </w:tr>
      <w:tr>
        <w:trPr>
          <w:cantSplit/>
        </w:trPr>
        <w:tc>
          <w:tcPr>
            <w:tcW w:type="dxa" w:w="762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Seed</w:t>
            </w:r>
          </w:p>
        </w:tc>
        <w:tc>
          <w:tcPr>
            <w:tcW w:type="dxa" w:w="762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초기 데이터</w:t>
            </w:r>
          </w:p>
        </w:tc>
      </w:tr>
      <w:tr>
        <w:trPr>
          <w:cantSplit/>
        </w:trPr>
        <w:tc>
          <w:tcPr>
            <w:tcW w:type="dxa" w:w="762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Runtime Query</w:t>
            </w:r>
          </w:p>
        </w:tc>
        <w:tc>
          <w:tcPr>
            <w:tcW w:type="dxa" w:w="762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Repository/Mapper 실제 실행</w:t>
            </w:r>
          </w:p>
        </w:tc>
      </w:tr>
      <w:tr>
        <w:trPr>
          <w:cantSplit/>
        </w:trPr>
        <w:tc>
          <w:tcPr>
            <w:tcW w:type="dxa" w:w="762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Rollback/Recovery</w:t>
            </w:r>
          </w:p>
        </w:tc>
        <w:tc>
          <w:tcPr>
            <w:tcW w:type="dxa" w:w="762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명시적 복구</w:t>
            </w:r>
          </w:p>
        </w:tc>
      </w:tr>
      <w:tr>
        <w:trPr>
          <w:cantSplit/>
        </w:trPr>
        <w:tc>
          <w:tcPr>
            <w:tcW w:type="dxa" w:w="762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Generator/Test</w:t>
            </w:r>
          </w:p>
        </w:tc>
        <w:tc>
          <w:tcPr>
            <w:tcW w:type="dxa" w:w="762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생성 Domain/DB3 parity</w:t>
            </w:r>
          </w:p>
        </w:tc>
      </w:tr>
    </w:tbl>
    <w:p>
      <w:pPr>
        <w:pStyle w:val="CPFLabel"/>
      </w:pPr>
      <w:r>
        <w:t>먼저 dry-run과 plan hash 검토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250"/>
      </w:tblGrid>
      <w:tr>
        <w:trPr>
          <w:tblHeader w:val="true"/>
        </w:trPr>
        <w:tc>
          <w:tcPr>
            <w:tcW w:type="dxa" w:w="1525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pStyle w:val="CPFCode"/>
              <w:spacing w:before="0" w:after="0" w:line="252" w:lineRule="auto"/>
              <w:ind w:left="0"/>
              <w:jc w:val="left"/>
            </w:pPr>
            <w:r>
              <w:rPr>
                <w:b/>
                <w:color w:val="FFFFFF"/>
                <w:sz w:val="16"/>
              </w:rPr>
              <w:t>pwsh -NoProfile -File cpf-tools/db/tools/invoke-platform-database-migration.ps1 `</w:t>
              <w:br/>
              <w:t xml:space="preserve">  -ProfilePath &lt;profile.json&gt; -Direction upgrade -MigrationVersion &lt;version&gt; `</w:t>
              <w:br/>
              <w:t xml:space="preserve">  -Modules &lt;module&gt; -ResultPath &lt;result.json&gt; -DryRun</w:t>
            </w:r>
          </w:p>
        </w:tc>
      </w:tr>
    </w:tbl>
    <w:p>
      <w:pPr>
        <w:pStyle w:val="Heading1"/>
        <w:keepNext/>
      </w:pPr>
      <w:r>
        <w:t>4 Transaction · Lock · Paging</w:t>
      </w:r>
    </w:p>
    <w:p>
      <w:pPr>
        <w:spacing w:before="80" w:after="200"/>
        <w:ind w:left="173" w:right="58"/>
        <w:shd w:fill="F3F7FB"/>
        <w:pBdr>
          <w:left w:val="single" w:sz="18" w:space="8" w:color="4F46E5"/>
        </w:pBdr>
      </w:pPr>
      <w:r>
        <w:rPr>
          <w:b/>
          <w:color w:val="362D91"/>
          <w:sz w:val="20"/>
        </w:rPr>
        <w:t xml:space="preserve">이 장을 보는 이유  </w:t>
      </w:r>
      <w:r>
        <w:rPr>
          <w:color w:val="26374C"/>
          <w:sz w:val="20"/>
        </w:rPr>
        <w:t>Vendor 차이가 실제 동작으로 드러나는 지점을 테스트합니다.</w:t>
      </w:r>
    </w:p>
    <w:p>
      <w:pPr>
        <w:pStyle w:val="CPFLabel"/>
      </w:pPr>
      <w:r>
        <w:t>DB3 차이 확인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3812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11437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검증</w:t>
            </w:r>
          </w:p>
        </w:tc>
      </w:tr>
      <w:tr>
        <w:trPr>
          <w:cantSplit/>
        </w:trPr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datatype</w:t>
            </w:r>
          </w:p>
        </w:tc>
        <w:tc>
          <w:tcPr>
            <w:tcW w:type="dxa" w:w="114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정밀도/문자열/시간</w:t>
            </w:r>
          </w:p>
        </w:tc>
      </w:tr>
      <w:tr>
        <w:trPr>
          <w:cantSplit/>
        </w:trPr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identity/sequence</w:t>
            </w:r>
          </w:p>
        </w:tc>
        <w:tc>
          <w:tcPr>
            <w:tcW w:type="dxa" w:w="114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키 생성</w:t>
            </w:r>
          </w:p>
        </w:tc>
      </w:tr>
      <w:tr>
        <w:trPr>
          <w:cantSplit/>
        </w:trPr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locking</w:t>
            </w:r>
          </w:p>
        </w:tc>
        <w:tc>
          <w:tcPr>
            <w:tcW w:type="dxa" w:w="114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optimistic/pessimistic, timeout</w:t>
            </w:r>
          </w:p>
        </w:tc>
      </w:tr>
      <w:tr>
        <w:trPr>
          <w:cantSplit/>
        </w:trPr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DDL syntax</w:t>
            </w:r>
          </w:p>
        </w:tc>
        <w:tc>
          <w:tcPr>
            <w:tcW w:type="dxa" w:w="114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index/FK/default</w:t>
            </w:r>
          </w:p>
        </w:tc>
      </w:tr>
      <w:tr>
        <w:trPr>
          <w:cantSplit/>
        </w:trPr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paging</w:t>
            </w:r>
          </w:p>
        </w:tc>
        <w:tc>
          <w:tcPr>
            <w:tcW w:type="dxa" w:w="114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정렬 안정성/limit 방식</w:t>
            </w:r>
          </w:p>
        </w:tc>
      </w:tr>
      <w:tr>
        <w:trPr>
          <w:cantSplit/>
        </w:trPr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isolation</w:t>
            </w:r>
          </w:p>
        </w:tc>
        <w:tc>
          <w:tcPr>
            <w:tcW w:type="dxa" w:w="114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동시성/phantom/deadlock</w:t>
            </w:r>
          </w:p>
        </w:tc>
      </w:tr>
    </w:tbl>
    <w:p>
      <w:pPr>
        <w:pStyle w:val="Heading1"/>
        <w:keepNext/>
      </w:pPr>
      <w:r>
        <w:t>5 운영 변경과 복구</w:t>
      </w:r>
    </w:p>
    <w:p>
      <w:pPr>
        <w:spacing w:before="80" w:after="200"/>
        <w:ind w:left="173" w:right="58"/>
        <w:shd w:fill="F3F7FB"/>
        <w:pBdr>
          <w:left w:val="single" w:sz="18" w:space="8" w:color="4F46E5"/>
        </w:pBdr>
      </w:pPr>
      <w:r>
        <w:rPr>
          <w:b/>
          <w:color w:val="362D91"/>
          <w:sz w:val="20"/>
        </w:rPr>
        <w:t xml:space="preserve">이 장을 보는 이유  </w:t>
      </w:r>
      <w:r>
        <w:rPr>
          <w:color w:val="26374C"/>
          <w:sz w:val="20"/>
        </w:rPr>
        <w:t>실제 환경 적용은 app stop/backup/approval/plan hash가 있어야 합니다.</w:t>
      </w:r>
    </w:p>
    <w:p>
      <w:pPr>
        <w:pStyle w:val="ListBullet"/>
        <w:spacing w:after="40"/>
        <w:ind w:left="454" w:hanging="198"/>
      </w:pPr>
      <w:r>
        <w:t>Dry-run result의 planSha256과 operation별 migration/rollback hash를 검토합니다.</w:t>
      </w:r>
    </w:p>
    <w:p>
      <w:pPr>
        <w:pStyle w:val="ListBullet"/>
        <w:spacing w:after="40"/>
        <w:ind w:left="454" w:hanging="198"/>
      </w:pPr>
      <w:r>
        <w:t>Apply는 ConfirmApply, ConfirmApplicationsStopped, ConfirmRollbackReady, ExpectedPlanSha256, BackupManifestPath, Operator, Reason, ApprovalReference를 요구합니다.</w:t>
      </w:r>
    </w:p>
    <w:p>
      <w:pPr>
        <w:pStyle w:val="ListBullet"/>
        <w:spacing w:after="40"/>
        <w:ind w:left="454" w:hanging="198"/>
      </w:pPr>
      <w:r>
        <w:t>Client/DDL/Network 실패 후 reconcileRequired=true이면 자동 rollback이나 성공을 추정하지 않습니다.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737" w:right="794" w:bottom="794" w:left="794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KR" w:hAnsi="Noto Sans KR"/>
        <w:color w:val="5E7186"/>
        <w:sz w:val="15"/>
      </w:rPr>
      <w:t xml:space="preserve">Core Platform Framework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KR" w:hAnsi="Noto Sans KR"/>
        <w:color w:val="5E7186"/>
        <w:sz w:val="15"/>
      </w:rPr>
      <w:t>CPF  ·  데이터베이스표준서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1" w:lineRule="auto"/>
    </w:pPr>
    <w:rPr>
      <w:rFonts w:ascii="Noto Sans KR" w:hAnsi="Noto Sans KR" w:eastAsia="Noto Sans KR"/>
      <w:color w:val="24354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80"/>
      <w:outlineLvl w:val="0"/>
    </w:pPr>
    <w:rPr>
      <w:rFonts w:asciiTheme="majorHAnsi" w:eastAsiaTheme="majorEastAsia" w:hAnsiTheme="majorHAnsi" w:cstheme="majorBidi" w:ascii="Noto Sans KR" w:hAnsi="Noto Sans KR" w:eastAsia="Noto Sans KR"/>
      <w:b/>
      <w:bCs/>
      <w:color w:val="17324D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40" w:after="120"/>
      <w:ind w:left="113"/>
      <w:outlineLvl w:val="1"/>
    </w:pPr>
    <w:rPr>
      <w:rFonts w:asciiTheme="majorHAnsi" w:eastAsiaTheme="majorEastAsia" w:hAnsiTheme="majorHAnsi" w:cstheme="majorBidi" w:ascii="Noto Sans KR" w:hAnsi="Noto Sans KR" w:eastAsia="Noto Sans KR"/>
      <w:b/>
      <w:bCs/>
      <w:color w:val="4F46E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ind w:left="255"/>
      <w:outlineLvl w:val="2"/>
    </w:pPr>
    <w:rPr>
      <w:rFonts w:asciiTheme="majorHAnsi" w:eastAsiaTheme="majorEastAsia" w:hAnsiTheme="majorHAnsi" w:cstheme="majorBidi" w:ascii="Noto Sans KR" w:hAnsi="Noto Sans KR" w:eastAsia="Noto Sans KR"/>
      <w:b/>
      <w:bCs/>
      <w:color w:val="17324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/>
      <w:contextualSpacing/>
    </w:pPr>
    <w:rPr>
      <w:rFonts w:asciiTheme="majorHAnsi" w:eastAsiaTheme="majorEastAsia" w:hAnsiTheme="majorHAnsi" w:cstheme="majorBidi" w:ascii="Noto Sans KR" w:hAnsi="Noto Sans KR" w:eastAsia="Noto Sans KR"/>
      <w:b/>
      <w:color w:val="071A2B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KR" w:hAnsi="Noto Sans KR" w:eastAsia="Noto Sans KR"/>
      <w:b w:val="0"/>
      <w:i/>
      <w:iCs/>
      <w:color w:val="5E718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before="40" w:after="80"/>
      <w:ind w:left="283" w:right="170"/>
    </w:pPr>
    <w:rPr>
      <w:rFonts w:ascii="DejaVu Sans Mono" w:hAnsi="DejaVu Sans Mono" w:eastAsia="DejaVu Sans Mono"/>
      <w:color w:val="071A2B"/>
      <w:sz w:val="16"/>
    </w:rPr>
  </w:style>
  <w:style w:type="paragraph" w:customStyle="1" w:styleId="CPFCaption">
    <w:name w:val="CPF Caption"/>
    <w:pPr>
      <w:spacing w:before="40" w:after="100"/>
      <w:ind w:left="255" w:right="255"/>
    </w:pPr>
    <w:rPr>
      <w:rFonts w:ascii="Noto Sans KR" w:hAnsi="Noto Sans KR" w:eastAsia="Noto Sans KR"/>
      <w:color w:val="5E7186"/>
      <w:sz w:val="16"/>
    </w:rPr>
  </w:style>
  <w:style w:type="paragraph" w:customStyle="1" w:styleId="CPFLabel">
    <w:name w:val="CPF Label"/>
    <w:pPr>
      <w:keepNext/>
      <w:spacing w:before="140" w:after="40"/>
      <w:ind w:left="255"/>
    </w:pPr>
    <w:rPr>
      <w:rFonts w:ascii="Noto Sans KR" w:hAnsi="Noto Sans KR" w:eastAsia="Noto Sans KR"/>
      <w:b/>
      <w:color w:val="7154C7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CPF Documentation Harness v2.3.0 PATCH_FIRST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