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</w:pPr>
      <w:r>
        <w:rPr>
          <w:rFonts w:ascii="Noto Sans KR" w:hAnsi="Noto Sans KR"/>
          <w:b/>
          <w:color w:val="00B882"/>
          <w:sz w:val="22"/>
        </w:rPr>
        <w:t>CORE PLATFORM FRAMEWORK</w:t>
      </w:r>
    </w:p>
    <w:p>
      <w:pPr>
        <w:pStyle w:val="Title"/>
      </w:pPr>
      <w:r>
        <w:t>Specification 기술 명세</w:t>
      </w:r>
    </w:p>
    <w:p>
      <w:pPr>
        <w:pStyle w:val="Subtitle"/>
      </w:pPr>
      <w:r>
        <w:t>CPF의 제품 범위·Stack·Public Contract·Identity·DB3 명세</w:t>
      </w:r>
    </w:p>
    <w:p>
      <w:pPr>
        <w:spacing w:before="24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3660"/>
            <w:tcMar>
              <w:top w:w="90" w:type="dxa"/>
              <w:start w:w="100" w:type="dxa"/>
              <w:bottom w:w="90" w:type="dxa"/>
              <w:end w:w="100" w:type="dxa"/>
            </w:tcMar>
            <w:shd w:fill="223A57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  <w:sz w:val="16"/>
              </w:rPr>
              <w:t>누가 보는가</w:t>
            </w:r>
          </w:p>
        </w:tc>
        <w:tc>
          <w:tcPr>
            <w:tcW w:type="dxa" w:w="115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223A57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  <w:sz w:val="16"/>
              </w:rPr>
              <w:t>아키텍트·리드 개발자·검수자</w:t>
            </w:r>
          </w:p>
        </w:tc>
      </w:tr>
      <w:tr>
        <w:tc>
          <w:tcPr>
            <w:tcW w:type="dxa" w:w="3660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7"/>
              </w:rPr>
              <w:t>이 문서로 끝낼 일</w:t>
            </w:r>
          </w:p>
        </w:tc>
        <w:tc>
          <w:tcPr>
            <w:tcW w:type="dxa" w:w="115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구현/문서/환경이 어떤 canonical 계약을 따라야 하는지 확인한다</w:t>
            </w:r>
          </w:p>
        </w:tc>
      </w:tr>
      <w:tr>
        <w:tc>
          <w:tcPr>
            <w:tcW w:type="dxa" w:w="3660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7"/>
              </w:rPr>
              <w:t>기준</w:t>
            </w:r>
          </w:p>
        </w:tc>
        <w:tc>
          <w:tcPr>
            <w:tcW w:type="dxa" w:w="115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r>
              <w:rPr>
                <w:color w:val="26374C"/>
                <w:sz w:val="16"/>
              </w:rPr>
              <w:t>Harness 2.3.0 · Source A5B7844665F4 · Oracle/PostgreSQL/MariaDB</w:t>
            </w:r>
          </w:p>
        </w:tc>
      </w:tr>
    </w:tbl>
    <w:p>
      <w:pPr>
        <w:spacing w:before="200"/>
      </w:pPr>
    </w:p>
    <w:p>
      <w:pPr>
        <w:pStyle w:val="ListBullet"/>
        <w:spacing w:after="60"/>
        <w:ind w:left="283"/>
      </w:pPr>
      <w:r>
        <w:t>Source의 기술 Stack을 확인합니다.</w:t>
      </w:r>
    </w:p>
    <w:p>
      <w:pPr>
        <w:pStyle w:val="ListBullet"/>
        <w:spacing w:after="60"/>
        <w:ind w:left="283"/>
      </w:pPr>
      <w:r>
        <w:t>Public Contract와 Identity 정본을 확인합니다.</w:t>
      </w:r>
    </w:p>
    <w:p>
      <w:pPr>
        <w:pStyle w:val="ListBullet"/>
        <w:spacing w:after="60"/>
        <w:ind w:left="283"/>
      </w:pPr>
      <w:r>
        <w:t>Topology/DB3 지원 범위를 오해 없이 확인합니다.</w:t>
      </w:r>
    </w:p>
    <w:p>
      <w:r>
        <w:br w:type="page"/>
      </w:r>
    </w:p>
    <w:p>
      <w:pPr>
        <w:pStyle w:val="Heading1"/>
        <w:keepNext/>
      </w:pPr>
      <w:r>
        <w:t>찾아보기</w:t>
      </w:r>
    </w:p>
    <w:p>
      <w:pPr>
        <w:spacing w:after="100"/>
      </w:pPr>
      <w:r>
        <w:t>필요한 작업을 먼저 찾고 해당 장으로 이동합니다. 페이지 번호는 최종 PDF 기준입니다.</w:t>
      </w:r>
    </w:p>
    <w:p>
      <w:pPr>
        <w:spacing w:after="60"/>
        <w:ind w:left="259"/>
      </w:pPr>
      <w:r>
        <w:rPr>
          <w:b/>
          <w:color w:val="1F3349"/>
          <w:sz w:val="21"/>
        </w:rPr>
        <w:t>1 제품 범위</w:t>
      </w:r>
    </w:p>
    <w:p>
      <w:pPr>
        <w:spacing w:after="60"/>
        <w:ind w:left="259"/>
      </w:pPr>
      <w:r>
        <w:rPr>
          <w:b/>
          <w:color w:val="1F3349"/>
          <w:sz w:val="21"/>
        </w:rPr>
        <w:t>2 기술 Stack</w:t>
      </w:r>
    </w:p>
    <w:p>
      <w:pPr>
        <w:spacing w:after="60"/>
        <w:ind w:left="259"/>
      </w:pPr>
      <w:r>
        <w:rPr>
          <w:b/>
          <w:color w:val="1F3349"/>
          <w:sz w:val="21"/>
        </w:rPr>
        <w:t>3 Public Contract</w:t>
      </w:r>
    </w:p>
    <w:p>
      <w:pPr>
        <w:spacing w:after="60"/>
        <w:ind w:left="259"/>
      </w:pPr>
      <w:r>
        <w:rPr>
          <w:b/>
          <w:color w:val="1F3349"/>
          <w:sz w:val="21"/>
        </w:rPr>
        <w:t>4 Context · Identity · Operation</w:t>
      </w:r>
    </w:p>
    <w:p>
      <w:pPr>
        <w:spacing w:after="60"/>
        <w:ind w:left="259"/>
      </w:pPr>
      <w:r>
        <w:rPr>
          <w:b/>
          <w:color w:val="1F3349"/>
          <w:sz w:val="21"/>
        </w:rPr>
        <w:t>5 지원 DB</w:t>
      </w:r>
    </w:p>
    <w:p>
      <w:pPr>
        <w:spacing w:after="60"/>
        <w:ind w:left="259"/>
      </w:pPr>
      <w:r>
        <w:rPr>
          <w:b/>
          <w:color w:val="1F3349"/>
          <w:sz w:val="21"/>
        </w:rPr>
        <w:t>6 Topology와 Optionality</w:t>
      </w:r>
    </w:p>
    <w:p>
      <w:r>
        <w:br w:type="page"/>
      </w:r>
    </w:p>
    <w:p>
      <w:pPr>
        <w:pStyle w:val="Heading1"/>
        <w:keepNext/>
      </w:pPr>
      <w:r>
        <w:t>1 제품 범위</w:t>
      </w:r>
    </w:p>
    <w:p>
      <w:pPr>
        <w:spacing w:before="80" w:after="200"/>
        <w:ind w:left="173" w:right="58"/>
        <w:shd w:fill="F3F7FB"/>
        <w:pBdr>
          <w:left w:val="single" w:sz="18" w:space="8" w:color="4F46E5"/>
        </w:pBdr>
      </w:pPr>
      <w:r>
        <w:rPr>
          <w:b/>
          <w:color w:val="362D91"/>
          <w:sz w:val="20"/>
        </w:rPr>
        <w:t xml:space="preserve">이 장을 보는 이유  </w:t>
      </w:r>
      <w:r>
        <w:rPr>
          <w:color w:val="26374C"/>
          <w:sz w:val="20"/>
        </w:rPr>
        <w:t>CPF가 제공하는 Runtime/개발/운영 계약의 범위를 빠르게 확인합니다.</w:t>
      </w:r>
    </w:p>
    <w:p>
      <w:pPr>
        <w:pStyle w:val="CPFLabel"/>
      </w:pPr>
      <w:r>
        <w:t>제품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3812"/>
            <w:shd w:fill="223A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11437"/>
            <w:shd w:fill="223A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  <w:sz w:val="16"/>
              </w:rPr>
              <w:t>계약</w:t>
            </w:r>
          </w:p>
        </w:tc>
      </w:tr>
      <w:tr>
        <w:trPr>
          <w:cantSplit/>
        </w:trPr>
        <w:tc>
          <w:tcPr>
            <w:tcW w:type="dxa" w:w="38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Online</w:t>
            </w:r>
          </w:p>
        </w:tc>
        <w:tc>
          <w:tcPr>
            <w:tcW w:type="dxa" w:w="114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Web/Service/Persistence/Domain Invocation/Integration</w:t>
            </w:r>
          </w:p>
        </w:tc>
      </w:tr>
      <w:tr>
        <w:trPr>
          <w:cantSplit/>
        </w:trPr>
        <w:tc>
          <w:tcPr>
            <w:tcW w:type="dxa" w:w="38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Reliability</w:t>
            </w:r>
          </w:p>
        </w:tc>
        <w:tc>
          <w:tcPr>
            <w:tcW w:type="dxa" w:w="114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Idempotency/Retry/Timeout/UNKNOWN/Reconcile</w:t>
            </w:r>
          </w:p>
        </w:tc>
      </w:tr>
      <w:tr>
        <w:trPr>
          <w:cantSplit/>
        </w:trPr>
        <w:tc>
          <w:tcPr>
            <w:tcW w:type="dxa" w:w="38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Async</w:t>
            </w:r>
          </w:p>
        </w:tc>
        <w:tc>
          <w:tcPr>
            <w:tcW w:type="dxa" w:w="114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Messaging/Outbox/Inbox/DLQ/Replay</w:t>
            </w:r>
          </w:p>
        </w:tc>
      </w:tr>
      <w:tr>
        <w:trPr>
          <w:cantSplit/>
        </w:trPr>
        <w:tc>
          <w:tcPr>
            <w:tcW w:type="dxa" w:w="38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Batch</w:t>
            </w:r>
          </w:p>
        </w:tc>
        <w:tc>
          <w:tcPr>
            <w:tcW w:type="dxa" w:w="114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Job/Step/Control/Ledger/Lease/Fencing/Checkpoint</w:t>
            </w:r>
          </w:p>
        </w:tc>
      </w:tr>
      <w:tr>
        <w:trPr>
          <w:cantSplit/>
        </w:trPr>
        <w:tc>
          <w:tcPr>
            <w:tcW w:type="dxa" w:w="38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Data</w:t>
            </w:r>
          </w:p>
        </w:tc>
        <w:tc>
          <w:tcPr>
            <w:tcW w:type="dxa" w:w="114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JDBC/MyBatis/JPA/Cache/DB3</w:t>
            </w:r>
          </w:p>
        </w:tc>
      </w:tr>
      <w:tr>
        <w:trPr>
          <w:cantSplit/>
        </w:trPr>
        <w:tc>
          <w:tcPr>
            <w:tcW w:type="dxa" w:w="38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Security</w:t>
            </w:r>
          </w:p>
        </w:tc>
        <w:tc>
          <w:tcPr>
            <w:tcW w:type="dxa" w:w="114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Permission/Approval/Audit/Masking</w:t>
            </w:r>
          </w:p>
        </w:tc>
      </w:tr>
      <w:tr>
        <w:trPr>
          <w:cantSplit/>
        </w:trPr>
        <w:tc>
          <w:tcPr>
            <w:tcW w:type="dxa" w:w="38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Operations</w:t>
            </w:r>
          </w:p>
        </w:tc>
        <w:tc>
          <w:tcPr>
            <w:tcW w:type="dxa" w:w="114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ADM/Backoffice/Trace/Health/Recovery/Deployment</w:t>
            </w:r>
          </w:p>
        </w:tc>
      </w:tr>
      <w:tr>
        <w:trPr>
          <w:cantSplit/>
        </w:trPr>
        <w:tc>
          <w:tcPr>
            <w:tcW w:type="dxa" w:w="38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Generator</w:t>
            </w:r>
          </w:p>
        </w:tc>
        <w:tc>
          <w:tcPr>
            <w:tcW w:type="dxa" w:w="114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Domain/Starter/DB/OpenAPI/Sample</w:t>
            </w:r>
          </w:p>
        </w:tc>
      </w:tr>
    </w:tbl>
    <w:p>
      <w:pPr>
        <w:pStyle w:val="Heading1"/>
        <w:keepNext/>
      </w:pPr>
      <w:r>
        <w:t>2 기술 Stack</w:t>
      </w:r>
    </w:p>
    <w:p>
      <w:pPr>
        <w:spacing w:before="80" w:after="200"/>
        <w:ind w:left="173" w:right="58"/>
        <w:shd w:fill="F3F7FB"/>
        <w:pBdr>
          <w:left w:val="single" w:sz="18" w:space="8" w:color="4F46E5"/>
        </w:pBdr>
      </w:pPr>
      <w:r>
        <w:rPr>
          <w:b/>
          <w:color w:val="362D91"/>
          <w:sz w:val="20"/>
        </w:rPr>
        <w:t xml:space="preserve">이 장을 보는 이유  </w:t>
      </w:r>
      <w:r>
        <w:rPr>
          <w:color w:val="26374C"/>
          <w:sz w:val="20"/>
        </w:rPr>
        <w:t>실제 Source의 canonical stack properties를 기준으로 개발 환경을 맞춥니다.</w:t>
      </w:r>
    </w:p>
    <w:p>
      <w:pPr>
        <w:pStyle w:val="CPFLabel"/>
      </w:pPr>
      <w:r>
        <w:t>Canonical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9912"/>
            <w:shd w:fill="223A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5337"/>
            <w:shd w:fill="223A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  <w:sz w:val="16"/>
              </w:rPr>
              <w:t>버전/값</w:t>
            </w:r>
          </w:p>
        </w:tc>
      </w:tr>
      <w:tr>
        <w:trPr>
          <w:cantSplit/>
        </w:trPr>
        <w:tc>
          <w:tcPr>
            <w:tcW w:type="dxa" w:w="9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Java</w:t>
            </w:r>
          </w:p>
        </w:tc>
        <w:tc>
          <w:tcPr>
            <w:tcW w:type="dxa" w:w="53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25</w:t>
            </w:r>
          </w:p>
        </w:tc>
      </w:tr>
      <w:tr>
        <w:trPr>
          <w:cantSplit/>
        </w:trPr>
        <w:tc>
          <w:tcPr>
            <w:tcW w:type="dxa" w:w="9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Gradle</w:t>
            </w:r>
          </w:p>
        </w:tc>
        <w:tc>
          <w:tcPr>
            <w:tcW w:type="dxa" w:w="53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9.1.0</w:t>
            </w:r>
          </w:p>
        </w:tc>
      </w:tr>
      <w:tr>
        <w:trPr>
          <w:cantSplit/>
        </w:trPr>
        <w:tc>
          <w:tcPr>
            <w:tcW w:type="dxa" w:w="9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Spring Boot</w:t>
            </w:r>
          </w:p>
        </w:tc>
        <w:tc>
          <w:tcPr>
            <w:tcW w:type="dxa" w:w="53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4.1.0</w:t>
            </w:r>
          </w:p>
        </w:tc>
      </w:tr>
      <w:tr>
        <w:trPr>
          <w:cantSplit/>
        </w:trPr>
        <w:tc>
          <w:tcPr>
            <w:tcW w:type="dxa" w:w="9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Spring Dependency Management</w:t>
            </w:r>
          </w:p>
        </w:tc>
        <w:tc>
          <w:tcPr>
            <w:tcW w:type="dxa" w:w="53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1.1.7</w:t>
            </w:r>
          </w:p>
        </w:tc>
      </w:tr>
      <w:tr>
        <w:trPr>
          <w:cantSplit/>
        </w:trPr>
        <w:tc>
          <w:tcPr>
            <w:tcW w:type="dxa" w:w="9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Spring Cloud</w:t>
            </w:r>
          </w:p>
        </w:tc>
        <w:tc>
          <w:tcPr>
            <w:tcW w:type="dxa" w:w="53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2025.1.2</w:t>
            </w:r>
          </w:p>
        </w:tc>
      </w:tr>
      <w:tr>
        <w:trPr>
          <w:cantSplit/>
        </w:trPr>
        <w:tc>
          <w:tcPr>
            <w:tcW w:type="dxa" w:w="9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Spring Batch</w:t>
            </w:r>
          </w:p>
        </w:tc>
        <w:tc>
          <w:tcPr>
            <w:tcW w:type="dxa" w:w="53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6.0.4</w:t>
            </w:r>
          </w:p>
        </w:tc>
      </w:tr>
      <w:tr>
        <w:trPr>
          <w:cantSplit/>
        </w:trPr>
        <w:tc>
          <w:tcPr>
            <w:tcW w:type="dxa" w:w="9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MyBatis</w:t>
            </w:r>
          </w:p>
        </w:tc>
        <w:tc>
          <w:tcPr>
            <w:tcW w:type="dxa" w:w="53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3.5.19</w:t>
            </w:r>
          </w:p>
        </w:tc>
      </w:tr>
      <w:tr>
        <w:trPr>
          <w:cantSplit/>
        </w:trPr>
        <w:tc>
          <w:tcPr>
            <w:tcW w:type="dxa" w:w="9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springdoc</w:t>
            </w:r>
          </w:p>
        </w:tc>
        <w:tc>
          <w:tcPr>
            <w:tcW w:type="dxa" w:w="53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3.0.3</w:t>
            </w:r>
          </w:p>
        </w:tc>
      </w:tr>
      <w:tr>
        <w:trPr>
          <w:cantSplit/>
        </w:trPr>
        <w:tc>
          <w:tcPr>
            <w:tcW w:type="dxa" w:w="9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Servlet Spec</w:t>
            </w:r>
          </w:p>
        </w:tc>
        <w:tc>
          <w:tcPr>
            <w:tcW w:type="dxa" w:w="53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6.1</w:t>
            </w:r>
          </w:p>
        </w:tc>
      </w:tr>
    </w:tbl>
    <w:p>
      <w:pPr>
        <w:spacing w:before="60" w:after="160"/>
        <w:ind w:left="255" w:right="113"/>
      </w:pPr>
      <w:r>
        <w:rPr>
          <w:color w:val="3467A9"/>
          <w:sz w:val="16"/>
        </w:rPr>
        <w:t>Source: gradle/cpf-stack.properties</w:t>
      </w:r>
    </w:p>
    <w:p>
      <w:pPr>
        <w:pStyle w:val="Heading1"/>
        <w:keepNext/>
      </w:pPr>
      <w:r>
        <w:t>3 Public Contract</w:t>
      </w:r>
    </w:p>
    <w:p>
      <w:pPr>
        <w:spacing w:before="80" w:after="200"/>
        <w:ind w:left="173" w:right="58"/>
        <w:shd w:fill="F3F7FB"/>
        <w:pBdr>
          <w:left w:val="single" w:sz="18" w:space="8" w:color="4F46E5"/>
        </w:pBdr>
      </w:pPr>
      <w:r>
        <w:rPr>
          <w:b/>
          <w:color w:val="362D91"/>
          <w:sz w:val="20"/>
        </w:rPr>
        <w:t xml:space="preserve">이 장을 보는 이유  </w:t>
      </w:r>
      <w:r>
        <w:rPr>
          <w:color w:val="26374C"/>
          <w:sz w:val="20"/>
        </w:rPr>
        <w:t>일반 업무 개발자가 의존할 대표 API와 경계를 요약합니다.</w:t>
      </w:r>
    </w:p>
    <w:p>
      <w:pPr>
        <w:pStyle w:val="CPFLabel"/>
      </w:pPr>
      <w:r>
        <w:t>대표 Public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3050"/>
            <w:shd w:fill="223A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7320"/>
            <w:shd w:fill="223A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  <w:sz w:val="16"/>
              </w:rPr>
              <w:t>API/Annotation</w:t>
            </w:r>
          </w:p>
        </w:tc>
        <w:tc>
          <w:tcPr>
            <w:tcW w:type="dxa" w:w="4880"/>
            <w:shd w:fill="223A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  <w:sz w:val="16"/>
              </w:rPr>
              <w:t>책임</w:t>
            </w:r>
          </w:p>
        </w:tc>
      </w:tr>
      <w:tr>
        <w:trPr>
          <w:cantSplit/>
        </w:trPr>
        <w:tc>
          <w:tcPr>
            <w:tcW w:type="dxa" w:w="3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Web</w:t>
            </w:r>
          </w:p>
        </w:tc>
        <w:tc>
          <w:tcPr>
            <w:tcW w:type="dxa" w:w="7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@CpfController</w:t>
            </w:r>
          </w:p>
        </w:tc>
        <w:tc>
          <w:tcPr>
            <w:tcW w:type="dxa" w:w="4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업무 HTTP 진입</w:t>
            </w:r>
          </w:p>
        </w:tc>
      </w:tr>
      <w:tr>
        <w:trPr>
          <w:cantSplit/>
        </w:trPr>
        <w:tc>
          <w:tcPr>
            <w:tcW w:type="dxa" w:w="3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Service</w:t>
            </w:r>
          </w:p>
        </w:tc>
        <w:tc>
          <w:tcPr>
            <w:tcW w:type="dxa" w:w="7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@CpfService</w:t>
            </w:r>
          </w:p>
        </w:tc>
        <w:tc>
          <w:tcPr>
            <w:tcW w:type="dxa" w:w="4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업무 규칙</w:t>
            </w:r>
          </w:p>
        </w:tc>
      </w:tr>
      <w:tr>
        <w:trPr>
          <w:cantSplit/>
        </w:trPr>
        <w:tc>
          <w:tcPr>
            <w:tcW w:type="dxa" w:w="3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Persistence</w:t>
            </w:r>
          </w:p>
        </w:tc>
        <w:tc>
          <w:tcPr>
            <w:tcW w:type="dxa" w:w="7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@CpfRepository / @CpfTransactional / CpfCrudRepository</w:t>
            </w:r>
          </w:p>
        </w:tc>
        <w:tc>
          <w:tcPr>
            <w:tcW w:type="dxa" w:w="4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Local DB</w:t>
            </w:r>
          </w:p>
        </w:tc>
      </w:tr>
      <w:tr>
        <w:trPr>
          <w:cantSplit/>
        </w:trPr>
        <w:tc>
          <w:tcPr>
            <w:tcW w:type="dxa" w:w="3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Domain</w:t>
            </w:r>
          </w:p>
        </w:tc>
        <w:tc>
          <w:tcPr>
            <w:tcW w:type="dxa" w:w="7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CpfDomainClient / @CpfOnlineTransaction</w:t>
            </w:r>
          </w:p>
        </w:tc>
        <w:tc>
          <w:tcPr>
            <w:tcW w:type="dxa" w:w="4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CPF-owned Domain 호출/Operation</w:t>
            </w:r>
          </w:p>
        </w:tc>
      </w:tr>
      <w:tr>
        <w:trPr>
          <w:cantSplit/>
        </w:trPr>
        <w:tc>
          <w:tcPr>
            <w:tcW w:type="dxa" w:w="3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Integration</w:t>
            </w:r>
          </w:p>
        </w:tc>
        <w:tc>
          <w:tcPr>
            <w:tcW w:type="dxa" w:w="7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@CpfClient / @CpfTimeout / @CpfRetry</w:t>
            </w:r>
          </w:p>
        </w:tc>
        <w:tc>
          <w:tcPr>
            <w:tcW w:type="dxa" w:w="4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외부 연계</w:t>
            </w:r>
          </w:p>
        </w:tc>
      </w:tr>
      <w:tr>
        <w:trPr>
          <w:cantSplit/>
        </w:trPr>
        <w:tc>
          <w:tcPr>
            <w:tcW w:type="dxa" w:w="3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Reliability</w:t>
            </w:r>
          </w:p>
        </w:tc>
        <w:tc>
          <w:tcPr>
            <w:tcW w:type="dxa" w:w="7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@CpfIdempotent / CpfResult</w:t>
            </w:r>
          </w:p>
        </w:tc>
        <w:tc>
          <w:tcPr>
            <w:tcW w:type="dxa" w:w="4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중복/UNKNOWN</w:t>
            </w:r>
          </w:p>
        </w:tc>
      </w:tr>
      <w:tr>
        <w:trPr>
          <w:cantSplit/>
        </w:trPr>
        <w:tc>
          <w:tcPr>
            <w:tcW w:type="dxa" w:w="3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Security</w:t>
            </w:r>
          </w:p>
        </w:tc>
        <w:tc>
          <w:tcPr>
            <w:tcW w:type="dxa" w:w="7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@CpfPermission / @CpfApprovalRequired / @CpfAudit</w:t>
            </w:r>
          </w:p>
        </w:tc>
        <w:tc>
          <w:tcPr>
            <w:tcW w:type="dxa" w:w="4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권한/승인/감사</w:t>
            </w:r>
          </w:p>
        </w:tc>
      </w:tr>
      <w:tr>
        <w:trPr>
          <w:cantSplit/>
        </w:trPr>
        <w:tc>
          <w:tcPr>
            <w:tcW w:type="dxa" w:w="3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Async</w:t>
            </w:r>
          </w:p>
        </w:tc>
        <w:tc>
          <w:tcPr>
            <w:tcW w:type="dxa" w:w="7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@CpfMessageListener / CpfMessagingTemplate</w:t>
            </w:r>
          </w:p>
        </w:tc>
        <w:tc>
          <w:tcPr>
            <w:tcW w:type="dxa" w:w="4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메시징</w:t>
            </w:r>
          </w:p>
        </w:tc>
      </w:tr>
      <w:tr>
        <w:trPr>
          <w:cantSplit/>
        </w:trPr>
        <w:tc>
          <w:tcPr>
            <w:tcW w:type="dxa" w:w="3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Batch</w:t>
            </w:r>
          </w:p>
        </w:tc>
        <w:tc>
          <w:tcPr>
            <w:tcW w:type="dxa" w:w="7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@CpfBatchJob / @CpfBatchStep</w:t>
            </w:r>
          </w:p>
        </w:tc>
        <w:tc>
          <w:tcPr>
            <w:tcW w:type="dxa" w:w="4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Batch</w:t>
            </w:r>
          </w:p>
        </w:tc>
      </w:tr>
    </w:tbl>
    <w:p>
      <w:pPr>
        <w:pStyle w:val="Heading1"/>
        <w:keepNext/>
      </w:pPr>
      <w:r>
        <w:t>4 Context · Identity · Operation</w:t>
      </w:r>
    </w:p>
    <w:p>
      <w:pPr>
        <w:spacing w:before="80" w:after="200"/>
        <w:ind w:left="173" w:right="58"/>
        <w:shd w:fill="F3F7FB"/>
        <w:pBdr>
          <w:left w:val="single" w:sz="18" w:space="8" w:color="4F46E5"/>
        </w:pBdr>
      </w:pPr>
      <w:r>
        <w:rPr>
          <w:b/>
          <w:color w:val="362D91"/>
          <w:sz w:val="20"/>
        </w:rPr>
        <w:t xml:space="preserve">이 장을 보는 이유  </w:t>
      </w:r>
      <w:r>
        <w:rPr>
          <w:color w:val="26374C"/>
          <w:sz w:val="20"/>
        </w:rPr>
        <w:t>거래 식별과 Runtime 식별을 혼동하지 않습니다.</w:t>
      </w:r>
    </w:p>
    <w:p>
      <w:pPr>
        <w:pStyle w:val="CPFLabel"/>
      </w:pPr>
      <w:r>
        <w:t>Identity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3050"/>
            <w:shd w:fill="223A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320"/>
            <w:shd w:fill="223A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  <w:sz w:val="16"/>
              </w:rPr>
              <w:t>정의</w:t>
            </w:r>
          </w:p>
        </w:tc>
        <w:tc>
          <w:tcPr>
            <w:tcW w:type="dxa" w:w="4880"/>
            <w:shd w:fill="223A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  <w:sz w:val="16"/>
              </w:rPr>
              <w:t>전파</w:t>
            </w:r>
          </w:p>
        </w:tc>
      </w:tr>
      <w:tr>
        <w:trPr>
          <w:cantSplit/>
        </w:trPr>
        <w:tc>
          <w:tcPr>
            <w:tcW w:type="dxa" w:w="3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transactionId</w:t>
            </w:r>
          </w:p>
        </w:tc>
        <w:tc>
          <w:tcPr>
            <w:tcW w:type="dxa" w:w="7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거래 식별</w:t>
            </w:r>
          </w:p>
        </w:tc>
        <w:tc>
          <w:tcPr>
            <w:tcW w:type="dxa" w:w="4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System6</w:t>
            </w:r>
          </w:p>
        </w:tc>
      </w:tr>
      <w:tr>
        <w:trPr>
          <w:cantSplit/>
        </w:trPr>
        <w:tc>
          <w:tcPr>
            <w:tcW w:type="dxa" w:w="3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operationId</w:t>
            </w:r>
          </w:p>
        </w:tc>
        <w:tc>
          <w:tcPr>
            <w:tcW w:type="dxa" w:w="7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업무 Operation 단일 정본</w:t>
            </w:r>
          </w:p>
        </w:tc>
        <w:tc>
          <w:tcPr>
            <w:tcW w:type="dxa" w:w="4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Annotation/OpenAPI/Header/Client/ADM/Log</w:t>
            </w:r>
          </w:p>
        </w:tc>
      </w:tr>
      <w:tr>
        <w:trPr>
          <w:cantSplit/>
        </w:trPr>
        <w:tc>
          <w:tcPr>
            <w:tcW w:type="dxa" w:w="3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instanceId</w:t>
            </w:r>
          </w:p>
        </w:tc>
        <w:tc>
          <w:tcPr>
            <w:tcW w:type="dxa" w:w="7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현재 Runtime Instance</w:t>
            </w:r>
          </w:p>
        </w:tc>
        <w:tc>
          <w:tcPr>
            <w:tcW w:type="dxa" w:w="4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bootstrap 1회 확정, Header 미포함</w:t>
            </w:r>
          </w:p>
        </w:tc>
      </w:tr>
      <w:tr>
        <w:trPr>
          <w:cantSplit/>
        </w:trPr>
        <w:tc>
          <w:tcPr>
            <w:tcW w:type="dxa" w:w="3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systemCode</w:t>
            </w:r>
          </w:p>
        </w:tc>
        <w:tc>
          <w:tcPr>
            <w:tcW w:type="dxa" w:w="7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현재 System</w:t>
            </w:r>
          </w:p>
        </w:tc>
        <w:tc>
          <w:tcPr>
            <w:tcW w:type="dxa" w:w="4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System6 hop</w:t>
            </w:r>
          </w:p>
        </w:tc>
      </w:tr>
      <w:tr>
        <w:trPr>
          <w:cantSplit/>
        </w:trPr>
        <w:tc>
          <w:tcPr>
            <w:tcW w:type="dxa" w:w="3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originalSystemCode</w:t>
            </w:r>
          </w:p>
        </w:tc>
        <w:tc>
          <w:tcPr>
            <w:tcW w:type="dxa" w:w="7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최초 System</w:t>
            </w:r>
          </w:p>
        </w:tc>
        <w:tc>
          <w:tcPr>
            <w:tcW w:type="dxa" w:w="4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불변</w:t>
            </w:r>
          </w:p>
        </w:tc>
      </w:tr>
    </w:tbl>
    <w:p>
      <w:pPr>
        <w:pStyle w:val="Heading1"/>
        <w:keepNext/>
      </w:pPr>
      <w:r>
        <w:t>5 지원 DB</w:t>
      </w:r>
    </w:p>
    <w:p>
      <w:pPr>
        <w:spacing w:before="80" w:after="200"/>
        <w:ind w:left="173" w:right="58"/>
        <w:shd w:fill="F3F7FB"/>
        <w:pBdr>
          <w:left w:val="single" w:sz="18" w:space="8" w:color="4F46E5"/>
        </w:pBdr>
      </w:pPr>
      <w:r>
        <w:rPr>
          <w:b/>
          <w:color w:val="362D91"/>
          <w:sz w:val="20"/>
        </w:rPr>
        <w:t xml:space="preserve">이 장을 보는 이유  </w:t>
      </w:r>
      <w:r>
        <w:rPr>
          <w:color w:val="26374C"/>
          <w:sz w:val="20"/>
        </w:rPr>
        <w:t>공식 DB Vendor는 세 종류뿐입니다.</w:t>
      </w:r>
    </w:p>
    <w:p>
      <w:pPr>
        <w:pStyle w:val="CPFLabel"/>
      </w:pPr>
      <w:r>
        <w:t>DB3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9912"/>
            <w:shd w:fill="223A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  <w:sz w:val="16"/>
              </w:rPr>
              <w:t>Vendor</w:t>
            </w:r>
          </w:p>
        </w:tc>
        <w:tc>
          <w:tcPr>
            <w:tcW w:type="dxa" w:w="5337"/>
            <w:shd w:fill="223A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  <w:sz w:val="16"/>
              </w:rPr>
              <w:t>상태</w:t>
            </w:r>
          </w:p>
        </w:tc>
      </w:tr>
      <w:tr>
        <w:trPr>
          <w:cantSplit/>
        </w:trPr>
        <w:tc>
          <w:tcPr>
            <w:tcW w:type="dxa" w:w="9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Oracle</w:t>
            </w:r>
          </w:p>
        </w:tc>
        <w:tc>
          <w:tcPr>
            <w:tcW w:type="dxa" w:w="53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공식</w:t>
            </w:r>
          </w:p>
        </w:tc>
      </w:tr>
      <w:tr>
        <w:trPr>
          <w:cantSplit/>
        </w:trPr>
        <w:tc>
          <w:tcPr>
            <w:tcW w:type="dxa" w:w="9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PostgreSQL</w:t>
            </w:r>
          </w:p>
        </w:tc>
        <w:tc>
          <w:tcPr>
            <w:tcW w:type="dxa" w:w="53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공식</w:t>
            </w:r>
          </w:p>
        </w:tc>
      </w:tr>
      <w:tr>
        <w:trPr>
          <w:cantSplit/>
        </w:trPr>
        <w:tc>
          <w:tcPr>
            <w:tcW w:type="dxa" w:w="9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MariaDB</w:t>
            </w:r>
          </w:p>
        </w:tc>
        <w:tc>
          <w:tcPr>
            <w:tcW w:type="dxa" w:w="53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rFonts w:ascii="Noto Sans KR" w:hAnsi="Noto Sans KR" w:eastAsia="Noto Sans KR"/>
                <w:sz w:val="17"/>
              </w:rPr>
              <w:t>공식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3812"/>
            <w:shd w:fill="223A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  <w:sz w:val="16"/>
              </w:rPr>
              <w:t>제외</w:t>
            </w:r>
          </w:p>
        </w:tc>
        <w:tc>
          <w:tcPr>
            <w:tcW w:type="dxa" w:w="11437"/>
            <w:shd w:fill="223A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  <w:sz w:val="16"/>
              </w:rPr>
              <w:t>MySQL·MSSQL·H2를 공식 지원 Vendor나 Evidence 기준으로 사용하지 않습니다.</w:t>
            </w:r>
          </w:p>
        </w:tc>
      </w:tr>
    </w:tbl>
    <w:p>
      <w:pPr>
        <w:pStyle w:val="Heading1"/>
        <w:keepNext/>
      </w:pPr>
      <w:r>
        <w:t>6 Topology와 Optionality</w:t>
      </w:r>
    </w:p>
    <w:p>
      <w:pPr>
        <w:spacing w:before="80" w:after="200"/>
        <w:ind w:left="173" w:right="58"/>
        <w:shd w:fill="F3F7FB"/>
        <w:pBdr>
          <w:left w:val="single" w:sz="18" w:space="8" w:color="4F46E5"/>
        </w:pBdr>
      </w:pPr>
      <w:r>
        <w:rPr>
          <w:b/>
          <w:color w:val="362D91"/>
          <w:sz w:val="20"/>
        </w:rPr>
        <w:t xml:space="preserve">이 장을 보는 이유  </w:t>
      </w:r>
      <w:r>
        <w:rPr>
          <w:color w:val="26374C"/>
          <w:sz w:val="20"/>
        </w:rPr>
        <w:t>동일 JVM·분리 WAS·MSA에서 업무 계약은 유지하고 Transport만 바뀝니다.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8251545" cy="4584192"/>
            <wp:docPr id="1" name="Picture 1" descr="CPF topology-independent Architecture" title="CPF topology-independent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51545" cy="4584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PFCaption"/>
        <w:jc w:val="left"/>
      </w:pPr>
      <w:r>
        <w:t>Core/Public 계약을 유지하면서 Runtime topology와 선택형 Gateway/Backoffice를 분리합니다.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37" w:right="794" w:bottom="794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/>
        <w:color w:val="5E7186"/>
        <w:sz w:val="15"/>
      </w:rPr>
      <w:t xml:space="preserve">Core Platform Framework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KR" w:hAnsi="Noto Sans KR"/>
        <w:color w:val="5E7186"/>
        <w:sz w:val="15"/>
      </w:rPr>
      <w:t>CPF  ·  Specification 기술 명세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1" w:lineRule="auto"/>
    </w:pPr>
    <w:rPr>
      <w:rFonts w:ascii="Noto Sans KR" w:hAnsi="Noto Sans KR" w:eastAsia="Noto Sans KR"/>
      <w:color w:val="2435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120"/>
      <w:ind w:left="113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46E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ind w:left="255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071A2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b w:val="0"/>
      <w:i/>
      <w:iCs/>
      <w:color w:val="5E718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FCode">
    <w:name w:val="CPF Code"/>
    <w:pPr>
      <w:spacing w:before="40" w:after="80"/>
      <w:ind w:left="283" w:right="170"/>
    </w:pPr>
    <w:rPr>
      <w:rFonts w:ascii="DejaVu Sans Mono" w:hAnsi="DejaVu Sans Mono" w:eastAsia="DejaVu Sans Mono"/>
      <w:color w:val="071A2B"/>
      <w:sz w:val="16"/>
    </w:rPr>
  </w:style>
  <w:style w:type="paragraph" w:customStyle="1" w:styleId="CPFCaption">
    <w:name w:val="CPF Caption"/>
    <w:pPr>
      <w:spacing w:before="40" w:after="100"/>
      <w:ind w:left="255" w:right="255"/>
    </w:pPr>
    <w:rPr>
      <w:rFonts w:ascii="Noto Sans KR" w:hAnsi="Noto Sans KR" w:eastAsia="Noto Sans KR"/>
      <w:color w:val="5E7186"/>
      <w:sz w:val="16"/>
    </w:rPr>
  </w:style>
  <w:style w:type="paragraph" w:customStyle="1" w:styleId="CPFLabel">
    <w:name w:val="CPF Label"/>
    <w:pPr>
      <w:keepNext/>
      <w:spacing w:before="140" w:after="40"/>
      <w:ind w:left="255"/>
    </w:pPr>
    <w:rPr>
      <w:rFonts w:ascii="Noto Sans KR" w:hAnsi="Noto Sans KR" w:eastAsia="Noto Sans KR"/>
      <w:b/>
      <w:color w:val="7154C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CPF Documentation Harness v2.3.0 PATCH_FIRST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