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jc w:val="center"/>
      </w:pPr>
      <w:r>
        <w:drawing>
          <wp:inline distT="0" distB="0" distL="0" distR="0">
            <wp:extent cx="2667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OPEN ITEMS RESOLUTION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Section 17 — All Items Resolved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Supplement to Spec v3.0  ·  March 2026  ·  Stonefield Capital (Internal)</w:t>
      </w:r>
    </w:p>
    <w:p>
      <w:pPr>
        <w:spacing w:before="300" w:after="0"/>
      </w:pPr>
    </w:p>
    <w:p>
      <w:pPr>
        <w:pBdr>
          <w:bottom w:val="single" w:color="E2E8F0" w:sz="2" w:space="1"/>
        </w:pBdr>
        <w:spacing w:before="200" w:after="200"/>
      </w:pPr>
    </w:p>
    <w:p>
      <w:pPr>
        <w:spacing w:before="100" w:after="0"/>
      </w:pP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All 8 open items from Section 17 of Spec v3.0 are now resolved. This document records the decisions and their direct impact on the build. Claude Code can proceed with Phase 1.</w:t>
      </w:r>
    </w:p>
    <w:p>
      <w:pPr>
        <w:spacing w:before="2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Resolution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800"/>
        <w:gridCol w:w="2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Features in v1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DRIP only — no withholding tax, no one-time distributions, no KYC fields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Slack workspace &amp; channels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stonefieldcapital.slack.com · #105-fund (create before setup)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Stonefield logo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PNG provided — high-res, ready for PDF embedding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 export format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Excel (.xlsx), 11 columns, 4 transaction types — full schema documented below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Go-live month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April 2026 — March 2026 is the last month processed in Mortgage Automator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Bank &amp; PAD submission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TD Bank — file submitted via TD online banking portal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provider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Resend (recommended — generous free tier, excellent Next.js integration)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Resolved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 (frontend) + Supabase Cloud (database, auth, storage)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Resolved</w:t>
            </w:r>
          </w:p>
        </w:tc>
      </w:tr>
    </w:tbl>
    <w:p>
      <w:pPr>
        <w:spacing w:before="2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Item 1 — Features in v1</w:t>
      </w: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Decision: DRIP only. All other optional features excluded from v1.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v1?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DRIP (reinvest interest as units)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✓ YES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Per-account toggle. Interest Payable → Investor Capital instead of Cash.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Withholding tax per investor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✗ 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Excluded from v1. Simple to add in v2 — tax_rate field on investment_accounts.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One-time special distributions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✗ 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Excluded from v1.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Compliance / KYC fields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✗ NO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Excluded from v1. Notes field on investor profile handles ad-hoc needs.</w:t>
            </w:r>
          </w:p>
        </w:tc>
      </w:tr>
    </w:tbl>
    <w:p>
      <w:pPr>
        <w:spacing w:before="10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Schema Impact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investment_accounts table: drip_enabled BOOLEAN NOT NULL DEFAULT false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withholding_tax_rate column needed in v1 — add in v2 migration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one_time_distributions table needed in v1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Item 2 — Slack Workspace &amp; Channels</w:t>
      </w: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Workspace: stonefieldcapital.slack.com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#105-fund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fund ops alerts, transaction confirmations, PAD notifications, month close events, reconciliation results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 this channel before n8n setup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#105-fund-alerts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High-priority alerts only: large transactions &gt;$500k, month unlocked, PAD voided, balance reaches $0, reconciliation discrepancies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 this channel before n8n setup</w:t>
            </w:r>
          </w:p>
        </w:tc>
      </w:tr>
    </w:tbl>
    <w:p>
      <w:pPr>
        <w:spacing w:before="80" w:after="0"/>
      </w:pPr>
    </w:p>
    <w:p>
      <w:pPr>
        <w:shd w:fill="EEF2FF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4338CA"/>
          <w:sz w:val="20"/>
          <w:szCs w:val="20"/>
        </w:rPr>
        <w:t xml:space="preserve">  ℹ  The spec previously referenced #fund-ops and #fund-alerts. These are now renamed to #105-fund and #105-fund-alerts to match Stonefield's naming convention. Update all Slack command references in the build accordingly.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Item 3 — Stonefield Capital Logo</w:t>
      </w: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Logo received: Stonefield_Capital_Logo_Large.png — high-resolution PNG, ready for use.</w:t>
      </w:r>
    </w:p>
    <w:p>
      <w:pPr>
        <w:spacing w:before="80" w:after="0"/>
      </w:pPr>
    </w:p>
    <w:p>
      <w:pPr>
        <w:spacing w:before="120" w:after="120"/>
      </w:pPr>
      <w:r>
        <w:drawing>
          <wp:inline distT="0" distB="0" distL="0" distR="0">
            <wp:extent cx="2476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 statement PDF header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PNG embedded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Top-left of page 1. Scale to ~180px height.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 app navbar / login page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PNG or convert to SVG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 on white background — logo has white bg, ensure contrast on dark nav.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header (deposit notifications)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PNG embedded in HTML email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Inline as base64 or hosted on Supabase Storage CDN.</w:t>
            </w:r>
          </w:p>
        </w:tc>
      </w:tr>
    </w:tbl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Brand Colours (extracted from logo)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Primary blue: #4F6EF7 (STONEFIELD bars + CAPITAL text)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Primary black: #1A1A1A (STONEFIELD wordmark)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Background: white (#FFFFFF)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Item 4 — Mortgage Automator Export Format</w:t>
      </w: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Format confirmed: Excel (.xlsx) — single sheet, 11 columns, 110 transaction rows (March 2026 sample).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Column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4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Sample Value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2026-3-1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Cert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 / Null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'105', '043', null — certificate/account reference number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'E (10)', 'G (9.35)', 'B (11)' — class name + rate in brackets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Individual investor name (e.g. 'Marvin Steinfeld')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Investment Account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legal name (e.g. '1831883 Ontario Ltd', 'Ian Serota')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Transaction type — see §4.2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Signed decimal — positive for credits, negative for debits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 Ending Balance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Running balance for this investor account after transaction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 Ending Share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Same as H but formatted as string with 4 decimal places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Fund Ending Balance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Running fund-level AUM after transaction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Fund Ending Share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Same as J but formatted as string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Transaction Types in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 Description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Maps To (New System)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Distribution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Accrual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Posted on 1st of month. Always positive. Adds to investor balance.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Payout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Interest Payout (PAD)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Posted on 1st of month. Always negative. Depletes investor balance.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Deposits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Deposit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Positive amount. Can be any date within month.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Redemption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Redemption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Negative amount. Can be any date within month.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Share Classes Found in Export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classes appear in the March 2026 export — more classes than previously known: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 Code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 Code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Rate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11.00%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7.25%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10.00%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7.00%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9.35%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6.79%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9.00%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8.25%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8.50%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9.25%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8.00%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 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7.50%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0"/>
      </w:pPr>
    </w:p>
    <w:p>
      <w:pPr>
        <w:shd w:fill="FFFBE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  ⚠  Classes N (7%), O (6.79%), P (8.25%), and S (9.25%) were not in the original spec. These must be seeded into the share_classes table at migration. Confirm with the team if any of these are inactive.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Key Observations for Migration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55 unique investors, 57 unique investment accounts in the March 2026 data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'Cert' column (column B) maps to the system account ID — some are null, these will need auto-generated IDs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Class rate is embedded in the class name string (e.g. 'E (10)') — parser must extract the rate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Interest Distribution + Interest Payout always appear as a pair on the same date for cash-payout accounts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DRIP accounts: Interest Distribution appears but no corresponding Interest Payout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Investor Ending Balance after Interest Distribution − after Interest Payout = net DRIP amount retained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Fund Ending Balance column gives us the running AUM — useful for seeding monthly_fund_stats</w:t>
      </w:r>
    </w:p>
    <w:p>
      <w:pPr>
        <w:spacing w:before="1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Migration Approach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1: Export all available months from Mortgage Automator (request full history export, not just 2026)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2: Run migration script — parse each row, resolve investor → account → class → transaction type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3: Seed share_classes table with all 12 classes found, rates extracted from class name strings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4: Seed investors and investment_accounts from unique Investor + Investment Account combinations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5: Import all historical transactions as archived read-only records (prior to April 2026)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6: Compute and store opening balances as of April 1, 2026 (= last Investor Ending Balance per account in March data)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Step 7: Seed monthly_fund_stats for all historical months from Fund Ending Balance column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Item 5 — Go-Live Month</w:t>
      </w: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Go-live: April 2026. March 2026 is the final month processed in Mortgage Automator.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March 2026 (current)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Last month fully processed in Mortgage Automator. Export all data after March close.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April 1, 2026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Opening balances loaded into new system from March 31 Mortgage Automator closing balances.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First month processed entirely in new system. Mortgage Automator fund module in parallel read-only.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April 30, 2026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Run reconciliation: compare April closing balances in new system vs. Mortgage Automator.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May 2026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April reconciliation is clean: Mortgage Automator fund module retired. New system only.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May 2026 (fallback)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April has discrepancies: resolve, run May in parallel, reconcile again before full cutover.</w:t>
            </w:r>
          </w:p>
        </w:tc>
      </w:tr>
    </w:tbl>
    <w:p>
      <w:pPr>
        <w:spacing w:before="80" w:after="0"/>
      </w:pPr>
    </w:p>
    <w:p>
      <w:pPr>
        <w:shd w:fill="FFFBEB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  ⚠  April 2026 is very close. Phase 1–4 of the build (schema, transactions, calc engine, PAD) must be complete and tested before April 1. This is an aggressive timeline — prioritise the calc engine and PAD generation above all else.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Item 6 — Bank &amp; PAD Submission</w:t>
      </w: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Bank: TD Bank. PAD file submitted via TD Business Online Banking portal.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File format: CPA 005 standard — already specced in §9 of Spec v3.0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Submission: admin downloads .TXT file from new system, logs into TD Business Online, uploads file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TD Bank CPA 005 requirements: standard format, no known deviations from the provided MIC0018.TXT sample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Recommendation: test with a small batch (2–3 payees) before first full production run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TD reference: the originator ID in the PAD header is '10590339 Canada' — preserve this exactly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Item 7 — Email Provider</w:t>
      </w: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Decision: Resend. Best Next.js integration, generous free tier (3,000 emails/month), simple API.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Package: resend npm package — install in Next.js project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From address: configure as noreply@stonefieldcapital.ca (requires DNS verification)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case: deposit notification emails only in v1 — ~59 emails per month maximum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Free tier: 3,000 emails/month, 100/day — well within requirements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Setup: create Resend account, verify stonefieldcapital.ca domain, add API key to Vercel env vars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Item 8 — Hosting</w:t>
      </w:r>
    </w:p>
    <w:p>
      <w:pPr>
        <w:shd w:fill="F0FDF4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  ✓  Decision: Vercel (frontend) + Supabase Cloud (database, auth, storage).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 ($20/mo) — needed for team access + custom domain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 ($25/mo) — needed for daily backups + 8GB storage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Included in Pro tier — PAD files, PDFs, logos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n8n Cloud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Starter ($20/mo) — Slack bot + email workflows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Free tier — up to 3,000 emails/month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~$65/month</w:t>
            </w:r>
          </w:p>
        </w:tc>
      </w:tr>
    </w:tbl>
    <w:p>
      <w:pPr>
        <w:spacing w:before="80" w:after="0"/>
      </w:pPr>
    </w:p>
    <w:p>
      <w:pPr>
        <w:shd w:fill="EEF2FF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4338CA"/>
          <w:sz w:val="20"/>
          <w:szCs w:val="20"/>
        </w:rPr>
        <w:t xml:space="preserve">  ℹ  $65/month vs. Mortgage Automator fund module pricing. Supabase Pro includes point-in-time recovery and daily backups — important for a financial system.</w:t>
      </w:r>
    </w:p>
    <w:p>
      <w:pPr>
        <w:spacing w:before="100" w:after="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9488"/>
          <w:sz w:val="38"/>
          <w:szCs w:val="38"/>
        </w:rPr>
        <w:t xml:space="preserve">What Claude Code Needs to Start Phase 1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blockers are resolved. Hand Claude Code the following in order: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1. Spec v3.0 (main spec document)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2. Reports Addendum (this supplement)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3. This Open Items Resolution document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4. The MIC0018.TXT PAD sample file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5. The Stonefield Capital logo PNG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6. The Mortgage Automator Excel export (for migration script reference)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1 Prompt for Claude Code</w:t>
      </w:r>
    </w:p>
    <w:p>
      <w:pPr>
        <w:shd w:fill="F1F5F9" w:val="clear"/>
        <w:spacing w:before="120" w:after="120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Build Phase 1 of the MIC Fund Management Platform per the attached spec. Use Next.js 14, Supabase (PostgreSQL), and Supabase Auth (Google OAuth + email/password). 
Requirements:
- Soft deletes on ALL tables (deleted_at, deleted_by columns)
- Immutable audit_log table written by DB trigger on every write — no application bypass possible
- Row Level Security on all tables — closed months must reject writes at DB layer
- Share class rate history table (rates never overwritten, effective_from dates)
- Account class assignment history table (start_date, end_date per assignment)
- Seed share_classes with all 12 classes: B(11%), E(10%), G(9.35%), H(9%), I(8.5%), J(8%), L(7.5%), M(7.25%), N(7%), O(6.79%), P(8.25%), S(9.25%)
Deliver: working Supabase schema with RLS, Next.js project scaffold with auth, and investor + investment account CRUD UI (web, mobile-responsive).</w:t>
      </w:r>
    </w:p>
    <w:p>
      <w:pPr>
        <w:spacing w:before="200" w:after="0"/>
      </w:pPr>
    </w:p>
    <w:p>
      <w:pPr>
        <w:pBdr>
          <w:bottom w:val="single" w:color="E2E8F0" w:sz="2" w:space="1"/>
        </w:pBdr>
        <w:spacing w:before="200" w:after="20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Stonefield Capital  ·  Open Items Resolution  ·  March 2026  ·  Internal &amp; Confidential</w:t>
      </w:r>
    </w:p>
    <w:sectPr>
      <w:head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1"/>
      </w:pBdr>
      <w:spacing w:after="80"/>
    </w:pPr>
    <w:r>
      <w:rPr>
        <w:rFonts w:ascii="Arial" w:cs="Arial" w:eastAsia="Arial" w:hAnsi="Arial"/>
        <w:b/>
        <w:bCs/>
        <w:color w:val="0D9488"/>
        <w:sz w:val="20"/>
        <w:szCs w:val="20"/>
      </w:rPr>
      <w:t xml:space="preserve">Stonefield Capital  </w:t>
    </w:r>
    <w:r>
      <w:rPr>
        <w:rFonts w:ascii="Arial" w:cs="Arial" w:eastAsia="Arial" w:hAnsi="Arial"/>
        <w:color w:val="94A3B8"/>
        <w:sz w:val="20"/>
        <w:szCs w:val="20"/>
      </w:rPr>
      <w:t xml:space="preserve">MIC Fund Platform  ·  Open Items Resolution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D9488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b0a5c743267004dbec18792fc55843a6234523ef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2026-03-12T19:05:44.104Z</dcterms:created>
  <dcterms:modified xsi:type="dcterms:W3CDTF">2026-03-12T19:05:44.104Z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