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60"/>
        <w:jc w:val="center"/>
      </w:pPr>
      <w:r>
        <w:rPr>
          <w:rFonts w:ascii="Arial" w:cs="Arial" w:eastAsia="Arial" w:hAnsi="Arial"/>
          <w:b/>
          <w:bCs/>
          <w:color w:val="0D9488"/>
          <w:sz w:val="52"/>
          <w:szCs w:val="52"/>
        </w:rPr>
        <w:t xml:space="preserve">ANALYTICS &amp; REPORTS ADDENDUM</w:t>
      </w:r>
    </w:p>
    <w:p>
      <w:pPr>
        <w:spacing w:before="0" w:after="60"/>
        <w:jc w:val="center"/>
      </w:pPr>
      <w:r>
        <w:rPr>
          <w:rFonts w:ascii="Arial" w:cs="Arial" w:eastAsia="Arial" w:hAnsi="Arial"/>
          <w:color w:val="64748B"/>
          <w:sz w:val="28"/>
          <w:szCs w:val="28"/>
        </w:rPr>
        <w:t xml:space="preserve">Supplement to Project Specification v3.0</w:t>
      </w:r>
    </w:p>
    <w:p>
      <w:pPr>
        <w:spacing w:before="40" w:after="0"/>
        <w:jc w:val="center"/>
      </w:pPr>
      <w:r>
        <w:rPr>
          <w:rFonts w:ascii="Arial" w:cs="Arial" w:eastAsia="Arial" w:hAnsi="Arial"/>
          <w:color w:val="94A3B8"/>
          <w:sz w:val="22"/>
          <w:szCs w:val="22"/>
        </w:rPr>
        <w:t xml:space="preserve">Extends Section 13 (Reporting &amp; Dashboards)  ·  March 2026</w:t>
      </w:r>
    </w:p>
    <w:p>
      <w:pPr>
        <w:spacing w:before="300" w:after="0"/>
      </w:pPr>
    </w:p>
    <w:p>
      <w:pPr>
        <w:pBdr>
          <w:bottom w:val="single" w:color="E2E8F0" w:sz="2" w:space="1"/>
        </w:pBdr>
        <w:spacing w:before="200" w:after="200"/>
      </w:pPr>
    </w:p>
    <w:p>
      <w:pPr>
        <w:spacing w:before="100" w:after="0"/>
      </w:pPr>
    </w:p>
    <w:p>
      <w:pPr>
        <w:shd w:fill="EEF2FF" w:val="clear"/>
        <w:spacing w:before="100" w:after="100"/>
        <w:ind w:left="200" w:right="200"/>
      </w:pPr>
      <w:r>
        <w:rPr>
          <w:rFonts w:ascii="Arial" w:cs="Arial" w:eastAsia="Arial" w:hAnsi="Arial"/>
          <w:i/>
          <w:iCs/>
          <w:color w:val="4338CA"/>
          <w:sz w:val="20"/>
          <w:szCs w:val="20"/>
        </w:rPr>
        <w:t xml:space="preserve">  ℹ  This document adds three new analytical reports to Section 13 of the main spec (v3.0): Cost of Capital, Profit &amp; Spread, and Growth Charts. All other spec content remains unchanged.</w:t>
      </w:r>
    </w:p>
    <w:p>
      <w:pPr>
        <w:spacing w:before="200" w:after="0"/>
      </w:pPr>
    </w:p>
    <w:p>
      <w:pPr>
        <w:pStyle w:val="Heading1"/>
        <w:spacing w:before="480" w:after="160"/>
      </w:pPr>
      <w:r>
        <w:rPr>
          <w:rFonts w:ascii="Arial" w:cs="Arial" w:eastAsia="Arial" w:hAnsi="Arial"/>
          <w:b/>
          <w:bCs/>
          <w:color w:val="0D9488"/>
          <w:sz w:val="38"/>
          <w:szCs w:val="38"/>
        </w:rPr>
        <w:t xml:space="preserve">Report A — Cost of Capital</w:t>
      </w:r>
    </w:p>
    <w:p>
      <w:pPr>
        <w:spacing w:before="80" w:after="80"/>
      </w:pPr>
      <w:r>
        <w:rPr>
          <w:rFonts w:ascii="Arial" w:cs="Arial" w:eastAsia="Arial" w:hAnsi="Arial"/>
          <w:color w:val="334155"/>
          <w:sz w:val="22"/>
          <w:szCs w:val="22"/>
        </w:rPr>
        <w:t xml:space="preserve">Answers the question: what is it actually costing the fund to hold investor capital? Shown as both a point-in-time snapshot and a monthly time series.</w:t>
      </w:r>
    </w:p>
    <w:p>
      <w:pPr>
        <w:spacing w:before="100" w:after="0"/>
      </w:pPr>
    </w:p>
    <w:p>
      <w:pPr>
        <w:pStyle w:val="Heading2"/>
        <w:spacing w:before="300" w:after="120"/>
      </w:pPr>
      <w:r>
        <w:rPr>
          <w:rFonts w:ascii="Arial" w:cs="Arial" w:eastAsia="Arial" w:hAnsi="Arial"/>
          <w:b/>
          <w:bCs/>
          <w:color w:val="1E293B"/>
          <w:sz w:val="28"/>
          <w:szCs w:val="28"/>
        </w:rPr>
        <w:t xml:space="preserve">A.1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Metric</w:t>
            </w:r>
          </w:p>
        </w:tc>
        <w:tc>
          <w:tcPr>
            <w:tcW w:type="dxa" w:w="38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Formula</w:t>
            </w:r>
          </w:p>
        </w:tc>
        <w:tc>
          <w:tcPr>
            <w:tcW w:type="dxa" w:w="31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What It Shows</w:t>
            </w:r>
          </w:p>
        </w:tc>
      </w:tr>
      <w:tr>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Weighted Average Cost of Capital (WACC)</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Σ (Account Balance × Annual Rate) ÷ Total AUM</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The blended interest rate the fund is paying across all investor balances — weighted so larger accounts have more influence</w:t>
            </w:r>
          </w:p>
        </w:tc>
      </w:tr>
      <w:tr>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Effective Cost of Capital</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Total Interest Paid to Investors (period) ÷ Average AUM (period) × 12</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What the fund actually paid out, annualised — reflects reality including DRIP, partial months, and mid-month activity</w:t>
            </w:r>
          </w:p>
        </w:tc>
      </w:tr>
    </w:tbl>
    <w:p>
      <w:pPr>
        <w:spacing w:before="100" w:after="0"/>
      </w:pPr>
    </w:p>
    <w:p>
      <w:pPr>
        <w:shd w:fill="EEF2FF" w:val="clear"/>
        <w:spacing w:before="100" w:after="100"/>
        <w:ind w:left="200" w:right="200"/>
      </w:pPr>
      <w:r>
        <w:rPr>
          <w:rFonts w:ascii="Arial" w:cs="Arial" w:eastAsia="Arial" w:hAnsi="Arial"/>
          <w:i/>
          <w:iCs/>
          <w:color w:val="4338CA"/>
          <w:sz w:val="20"/>
          <w:szCs w:val="20"/>
        </w:rPr>
        <w:t xml:space="preserve">  ℹ  Both figures are shown side by side. WACC is forward-looking (what we're committed to paying). Effective Cost is backward-looking (what we actually paid). The gap between them reflects DRIP reinvestment and timing effects.</w:t>
      </w:r>
    </w:p>
    <w:p>
      <w:pPr>
        <w:spacing w:before="100" w:after="0"/>
      </w:pPr>
    </w:p>
    <w:p>
      <w:pPr>
        <w:pStyle w:val="Heading2"/>
        <w:spacing w:before="300" w:after="120"/>
      </w:pPr>
      <w:r>
        <w:rPr>
          <w:rFonts w:ascii="Arial" w:cs="Arial" w:eastAsia="Arial" w:hAnsi="Arial"/>
          <w:b/>
          <w:bCs/>
          <w:color w:val="1E293B"/>
          <w:sz w:val="28"/>
          <w:szCs w:val="28"/>
        </w:rPr>
        <w:t xml:space="preserve">A.2 Point-in-Time View</w:t>
      </w:r>
    </w:p>
    <w:p>
      <w:pPr>
        <w:spacing w:before="80" w:after="80"/>
      </w:pPr>
      <w:r>
        <w:rPr>
          <w:rFonts w:ascii="Arial" w:cs="Arial" w:eastAsia="Arial" w:hAnsi="Arial"/>
          <w:color w:val="334155"/>
          <w:sz w:val="22"/>
          <w:szCs w:val="22"/>
        </w:rPr>
        <w:t xml:space="preserve">Available as of any date or closed month-end. Shows:</w:t>
      </w:r>
    </w:p>
    <w:p>
      <w:pPr>
        <w:pStyle w:val="ListParagraph"/>
        <w:numPr>
          <w:ilvl w:val="0"/>
          <w:numId w:val="2"/>
        </w:numPr>
        <w:spacing w:before="55" w:after="55"/>
      </w:pPr>
      <w:r>
        <w:rPr>
          <w:rFonts w:ascii="Arial" w:cs="Arial" w:eastAsia="Arial" w:hAnsi="Arial"/>
          <w:color w:val="334155"/>
          <w:sz w:val="22"/>
          <w:szCs w:val="22"/>
        </w:rPr>
        <w:t xml:space="preserve">WACC as of selected date — single percentage figure, large and prominent</w:t>
      </w:r>
    </w:p>
    <w:p>
      <w:pPr>
        <w:pStyle w:val="ListParagraph"/>
        <w:numPr>
          <w:ilvl w:val="0"/>
          <w:numId w:val="2"/>
        </w:numPr>
        <w:spacing w:before="55" w:after="55"/>
      </w:pPr>
      <w:r>
        <w:rPr>
          <w:rFonts w:ascii="Arial" w:cs="Arial" w:eastAsia="Arial" w:hAnsi="Arial"/>
          <w:color w:val="334155"/>
          <w:sz w:val="22"/>
          <w:szCs w:val="22"/>
        </w:rPr>
        <w:t xml:space="preserve">Effective Cost of Capital for the selected month</w:t>
      </w:r>
    </w:p>
    <w:p>
      <w:pPr>
        <w:pStyle w:val="ListParagraph"/>
        <w:numPr>
          <w:ilvl w:val="0"/>
          <w:numId w:val="2"/>
        </w:numPr>
        <w:spacing w:before="55" w:after="55"/>
      </w:pPr>
      <w:r>
        <w:rPr>
          <w:rFonts w:ascii="Arial" w:cs="Arial" w:eastAsia="Arial" w:hAnsi="Arial"/>
          <w:color w:val="334155"/>
          <w:sz w:val="22"/>
          <w:szCs w:val="22"/>
        </w:rPr>
        <w:t xml:space="preserve">Breakdown table by share class: balance, rate, weight, weighted contribution to WACC</w:t>
      </w:r>
    </w:p>
    <w:p>
      <w:pPr>
        <w:pStyle w:val="ListParagraph"/>
        <w:numPr>
          <w:ilvl w:val="0"/>
          <w:numId w:val="2"/>
        </w:numPr>
        <w:spacing w:before="55" w:after="55"/>
      </w:pPr>
      <w:r>
        <w:rPr>
          <w:rFonts w:ascii="Arial" w:cs="Arial" w:eastAsia="Arial" w:hAnsi="Arial"/>
          <w:color w:val="334155"/>
          <w:sz w:val="22"/>
          <w:szCs w:val="22"/>
        </w:rPr>
        <w:t xml:space="preserve">Implied loan yield (Revenue ÷ Loans Deployed × 12) shown alongside for context</w:t>
      </w:r>
    </w:p>
    <w:p>
      <w:pPr>
        <w:spacing w:before="100" w:after="0"/>
      </w:pPr>
    </w:p>
    <w:p>
      <w:pPr>
        <w:spacing w:before="220" w:after="80"/>
      </w:pPr>
      <w:r>
        <w:rPr>
          <w:rFonts w:ascii="Arial" w:cs="Arial" w:eastAsia="Arial" w:hAnsi="Arial"/>
          <w:b/>
          <w:bCs/>
          <w:color w:val="334155"/>
          <w:sz w:val="24"/>
          <w:szCs w:val="24"/>
        </w:rPr>
        <w:t xml:space="preserve">Sample Point-in-Time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400"/>
        <w:gridCol w:w="3360"/>
      </w:tblGrid>
      <w:tr>
        <w:tc>
          <w:tcPr>
            <w:tcW w:type="dxa" w:w="12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Class</w:t>
            </w:r>
          </w:p>
        </w:tc>
        <w:tc>
          <w:tcPr>
            <w:tcW w:type="dxa" w:w="22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Balance</w:t>
            </w:r>
          </w:p>
        </w:tc>
        <w:tc>
          <w:tcPr>
            <w:tcW w:type="dxa" w:w="12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Rate</w:t>
            </w:r>
          </w:p>
        </w:tc>
        <w:tc>
          <w:tcPr>
            <w:tcW w:type="dxa" w:w="14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Weight</w:t>
            </w:r>
          </w:p>
        </w:tc>
        <w:tc>
          <w:tcPr>
            <w:tcW w:type="dxa" w:w="33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Weighted Contribution</w:t>
            </w:r>
          </w:p>
        </w:tc>
      </w:tr>
      <w:tr>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 (9.35%)</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$5,008,122</w:t>
            </w:r>
          </w:p>
        </w:tc>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9.35%</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18.6%</w:t>
            </w:r>
          </w:p>
        </w:tc>
        <w:tc>
          <w:tcPr>
            <w:tcW w:type="dxa" w:w="33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1.74%</w:t>
            </w:r>
          </w:p>
        </w:tc>
      </w:tr>
      <w:tr>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E (10%)</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$6,114,323</w:t>
            </w:r>
          </w:p>
        </w:tc>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10.00%</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22.7%</w:t>
            </w:r>
          </w:p>
        </w:tc>
        <w:tc>
          <w:tcPr>
            <w:tcW w:type="dxa" w:w="33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2.27%</w:t>
            </w:r>
          </w:p>
        </w:tc>
      </w:tr>
      <w:tr>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H (9%)</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$3,350,882</w:t>
            </w:r>
          </w:p>
        </w:tc>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9.00%</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12.4%</w:t>
            </w:r>
          </w:p>
        </w:tc>
        <w:tc>
          <w:tcPr>
            <w:tcW w:type="dxa" w:w="33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1.12%</w:t>
            </w:r>
          </w:p>
        </w:tc>
      </w:tr>
      <w:tr>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 all classes</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c>
          <w:tcPr>
            <w:tcW w:type="dxa" w:w="33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r>
      <w:tr>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TOTAL / WACC</w:t>
            </w:r>
          </w:p>
        </w:tc>
        <w:tc>
          <w:tcPr>
            <w:tcW w:type="dxa" w:w="2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$26,932,609</w:t>
            </w:r>
          </w:p>
        </w:tc>
        <w:tc>
          <w:tcPr>
            <w:tcW w:type="dxa" w:w="1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100%</w:t>
            </w:r>
          </w:p>
        </w:tc>
        <w:tc>
          <w:tcPr>
            <w:tcW w:type="dxa" w:w="33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9.41%</w:t>
            </w:r>
          </w:p>
        </w:tc>
      </w:tr>
    </w:tbl>
    <w:p>
      <w:pPr>
        <w:spacing w:before="100" w:after="0"/>
      </w:pPr>
    </w:p>
    <w:p>
      <w:pPr>
        <w:pStyle w:val="Heading2"/>
        <w:spacing w:before="300" w:after="120"/>
      </w:pPr>
      <w:r>
        <w:rPr>
          <w:rFonts w:ascii="Arial" w:cs="Arial" w:eastAsia="Arial" w:hAnsi="Arial"/>
          <w:b/>
          <w:bCs/>
          <w:color w:val="1E293B"/>
          <w:sz w:val="28"/>
          <w:szCs w:val="28"/>
        </w:rPr>
        <w:t xml:space="preserve">A.3 Time Series View</w:t>
      </w:r>
    </w:p>
    <w:p>
      <w:pPr>
        <w:spacing w:before="80" w:after="80"/>
      </w:pPr>
      <w:r>
        <w:rPr>
          <w:rFonts w:ascii="Arial" w:cs="Arial" w:eastAsia="Arial" w:hAnsi="Arial"/>
          <w:color w:val="334155"/>
          <w:sz w:val="22"/>
          <w:szCs w:val="22"/>
        </w:rPr>
        <w:t xml:space="preserve">Monthly WACC and Effective Cost plotted over a selectable date range (default: last 12 closed months). Displayed as a dual-line chart:</w:t>
      </w:r>
    </w:p>
    <w:p>
      <w:pPr>
        <w:pStyle w:val="ListParagraph"/>
        <w:numPr>
          <w:ilvl w:val="0"/>
          <w:numId w:val="2"/>
        </w:numPr>
        <w:spacing w:before="55" w:after="55"/>
      </w:pPr>
      <w:r>
        <w:rPr>
          <w:rFonts w:ascii="Arial" w:cs="Arial" w:eastAsia="Arial" w:hAnsi="Arial"/>
          <w:color w:val="334155"/>
          <w:sz w:val="22"/>
          <w:szCs w:val="22"/>
        </w:rPr>
        <w:t xml:space="preserve">Line 1: WACC (%) per month-end</w:t>
      </w:r>
    </w:p>
    <w:p>
      <w:pPr>
        <w:pStyle w:val="ListParagraph"/>
        <w:numPr>
          <w:ilvl w:val="0"/>
          <w:numId w:val="2"/>
        </w:numPr>
        <w:spacing w:before="55" w:after="55"/>
      </w:pPr>
      <w:r>
        <w:rPr>
          <w:rFonts w:ascii="Arial" w:cs="Arial" w:eastAsia="Arial" w:hAnsi="Arial"/>
          <w:color w:val="334155"/>
          <w:sz w:val="22"/>
          <w:szCs w:val="22"/>
        </w:rPr>
        <w:t xml:space="preserve">Line 2: Effective Cost of Capital (%) per month</w:t>
      </w:r>
    </w:p>
    <w:p>
      <w:pPr>
        <w:pStyle w:val="ListParagraph"/>
        <w:numPr>
          <w:ilvl w:val="0"/>
          <w:numId w:val="2"/>
        </w:numPr>
        <w:spacing w:before="55" w:after="55"/>
      </w:pPr>
      <w:r>
        <w:rPr>
          <w:rFonts w:ascii="Arial" w:cs="Arial" w:eastAsia="Arial" w:hAnsi="Arial"/>
          <w:color w:val="334155"/>
          <w:sz w:val="22"/>
          <w:szCs w:val="22"/>
        </w:rPr>
        <w:t xml:space="preserve">Optional overlay: Implied Loan Yield (%) — makes spread immediately visible as the gap between lines</w:t>
      </w:r>
    </w:p>
    <w:p>
      <w:pPr>
        <w:pStyle w:val="ListParagraph"/>
        <w:numPr>
          <w:ilvl w:val="0"/>
          <w:numId w:val="2"/>
        </w:numPr>
        <w:spacing w:before="55" w:after="55"/>
      </w:pPr>
      <w:r>
        <w:rPr>
          <w:rFonts w:ascii="Arial" w:cs="Arial" w:eastAsia="Arial" w:hAnsi="Arial"/>
          <w:color w:val="334155"/>
          <w:sz w:val="22"/>
          <w:szCs w:val="22"/>
        </w:rPr>
        <w:t xml:space="preserve">X-axis: months. Y-axis: annualised rate (%)</w:t>
      </w:r>
    </w:p>
    <w:p>
      <w:pPr>
        <w:pStyle w:val="ListParagraph"/>
        <w:numPr>
          <w:ilvl w:val="0"/>
          <w:numId w:val="2"/>
        </w:numPr>
        <w:spacing w:before="55" w:after="55"/>
      </w:pPr>
      <w:r>
        <w:rPr>
          <w:rFonts w:ascii="Arial" w:cs="Arial" w:eastAsia="Arial" w:hAnsi="Arial"/>
          <w:color w:val="334155"/>
          <w:sz w:val="22"/>
          <w:szCs w:val="22"/>
        </w:rPr>
        <w:t xml:space="preserve">Hover tooltip: exact values for that month</w:t>
      </w:r>
    </w:p>
    <w:p>
      <w:pPr>
        <w:pStyle w:val="ListParagraph"/>
        <w:numPr>
          <w:ilvl w:val="0"/>
          <w:numId w:val="2"/>
        </w:numPr>
        <w:spacing w:before="55" w:after="55"/>
      </w:pPr>
      <w:r>
        <w:rPr>
          <w:rFonts w:ascii="Arial" w:cs="Arial" w:eastAsia="Arial" w:hAnsi="Arial"/>
          <w:color w:val="334155"/>
          <w:sz w:val="22"/>
          <w:szCs w:val="22"/>
        </w:rPr>
        <w:t xml:space="preserve">Date range picker: last 3 / 6 / 12 / 24 months, or custom</w:t>
      </w:r>
    </w:p>
    <w:p>
      <w:pPr>
        <w:spacing w:before="100" w:after="0"/>
      </w:pPr>
    </w:p>
    <w:p>
      <w:pPr>
        <w:pStyle w:val="Heading2"/>
        <w:spacing w:before="300" w:after="120"/>
      </w:pPr>
      <w:r>
        <w:rPr>
          <w:rFonts w:ascii="Arial" w:cs="Arial" w:eastAsia="Arial" w:hAnsi="Arial"/>
          <w:b/>
          <w:bCs/>
          <w:color w:val="1E293B"/>
          <w:sz w:val="28"/>
          <w:szCs w:val="28"/>
        </w:rPr>
        <w:t xml:space="preserve">A.4 Slack Command</w:t>
      </w:r>
    </w:p>
    <w:p>
      <w:pPr>
        <w:pStyle w:val="ListParagraph"/>
        <w:numPr>
          <w:ilvl w:val="0"/>
          <w:numId w:val="2"/>
        </w:numPr>
        <w:spacing w:before="55" w:after="55"/>
      </w:pPr>
      <w:r>
        <w:rPr>
          <w:rFonts w:ascii="Arial" w:cs="Arial" w:eastAsia="Arial" w:hAnsi="Arial"/>
          <w:color w:val="334155"/>
          <w:sz w:val="22"/>
          <w:szCs w:val="22"/>
        </w:rPr>
        <w:t xml:space="preserve">/fund cost-of-capital [month or 'current'] — returns WACC, Effective Cost, and Implied Yield for the period as a formatted Slack message</w:t>
      </w:r>
    </w:p>
    <w:p>
      <w:pPr>
        <w:spacing w:before="100" w:after="0"/>
      </w:pPr>
    </w:p>
    <w:p>
      <w:pPr>
        <w:pBdr>
          <w:bottom w:val="single" w:color="E2E8F0" w:sz="2" w:space="1"/>
        </w:pBdr>
        <w:spacing w:before="200" w:after="200"/>
      </w:pPr>
    </w:p>
    <w:p>
      <w:pPr>
        <w:pStyle w:val="Heading1"/>
        <w:spacing w:before="480" w:after="160"/>
      </w:pPr>
      <w:r>
        <w:rPr>
          <w:rFonts w:ascii="Arial" w:cs="Arial" w:eastAsia="Arial" w:hAnsi="Arial"/>
          <w:b/>
          <w:bCs/>
          <w:color w:val="0D9488"/>
          <w:sz w:val="38"/>
          <w:szCs w:val="38"/>
        </w:rPr>
        <w:t xml:space="preserve">Report B — Profit &amp; Spread</w:t>
      </w:r>
    </w:p>
    <w:p>
      <w:pPr>
        <w:spacing w:before="80" w:after="80"/>
      </w:pPr>
      <w:r>
        <w:rPr>
          <w:rFonts w:ascii="Arial" w:cs="Arial" w:eastAsia="Arial" w:hAnsi="Arial"/>
          <w:color w:val="334155"/>
          <w:sz w:val="22"/>
          <w:szCs w:val="22"/>
        </w:rPr>
        <w:t xml:space="preserve">Answers: how much is the fund making on the gap between what it earns on loans and what it pays investors? Shown as both gross (before expenses) and net (after expenses), YTD and for any custom range.</w:t>
      </w:r>
    </w:p>
    <w:p>
      <w:pPr>
        <w:spacing w:before="100" w:after="0"/>
      </w:pPr>
    </w:p>
    <w:p>
      <w:pPr>
        <w:pStyle w:val="Heading2"/>
        <w:spacing w:before="300" w:after="120"/>
      </w:pPr>
      <w:r>
        <w:rPr>
          <w:rFonts w:ascii="Arial" w:cs="Arial" w:eastAsia="Arial" w:hAnsi="Arial"/>
          <w:b/>
          <w:bCs/>
          <w:color w:val="1E293B"/>
          <w:sz w:val="28"/>
          <w:szCs w:val="28"/>
        </w:rPr>
        <w:t xml:space="preserve">B.1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Metric</w:t>
            </w:r>
          </w:p>
        </w:tc>
        <w:tc>
          <w:tcPr>
            <w:tcW w:type="dxa" w:w="38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Formula</w:t>
            </w:r>
          </w:p>
        </w:tc>
        <w:tc>
          <w:tcPr>
            <w:tcW w:type="dxa" w:w="31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What It Shows</w:t>
            </w:r>
          </w:p>
        </w:tc>
      </w:tr>
      <w:tr>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Loan Yield</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Loan Revenue ÷ Average Loans Deployed × 12</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Annualised return the fund earns on its deployed capital</w:t>
            </w:r>
          </w:p>
        </w:tc>
      </w:tr>
      <w:tr>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Gross Spread</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Loan Yield − WACC</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The raw margin before any operating costs. Measures quality of the rate arbitrage.</w:t>
            </w:r>
          </w:p>
        </w:tc>
      </w:tr>
      <w:tr>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Gross Profit ($)</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Loan Revenue − Total Interest Paid to Investors</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Actual dollar profit before expenses for the period</w:t>
            </w:r>
          </w:p>
        </w:tc>
      </w:tr>
      <w:tr>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Net Spread</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Gross Spread − (Total Expenses ÷ AUM × 12)</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Margin after operating costs, annualised</w:t>
            </w:r>
          </w:p>
        </w:tc>
      </w:tr>
      <w:tr>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Net Profit ($)</w:t>
            </w:r>
          </w:p>
        </w:tc>
        <w:tc>
          <w:tcPr>
            <w:tcW w:type="dxa" w:w="3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Loan Revenue − Total Interest Paid − Total Expenses</w:t>
            </w:r>
          </w:p>
        </w:tc>
        <w:tc>
          <w:tcPr>
            <w:tcW w:type="dxa" w:w="3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Actual dollar profit after all costs — the fund's bottom line</w:t>
            </w:r>
          </w:p>
        </w:tc>
      </w:tr>
    </w:tbl>
    <w:p>
      <w:pPr>
        <w:spacing w:before="100" w:after="0"/>
      </w:pPr>
    </w:p>
    <w:p>
      <w:pPr>
        <w:pStyle w:val="Heading2"/>
        <w:spacing w:before="300" w:after="120"/>
      </w:pPr>
      <w:r>
        <w:rPr>
          <w:rFonts w:ascii="Arial" w:cs="Arial" w:eastAsia="Arial" w:hAnsi="Arial"/>
          <w:b/>
          <w:bCs/>
          <w:color w:val="1E293B"/>
          <w:sz w:val="28"/>
          <w:szCs w:val="28"/>
        </w:rPr>
        <w:t xml:space="preserve">B.2 Report Layout</w:t>
      </w:r>
    </w:p>
    <w:p>
      <w:pPr>
        <w:spacing w:before="80" w:after="80"/>
      </w:pPr>
      <w:r>
        <w:rPr>
          <w:rFonts w:ascii="Arial" w:cs="Arial" w:eastAsia="Arial" w:hAnsi="Arial"/>
          <w:color w:val="334155"/>
          <w:sz w:val="22"/>
          <w:szCs w:val="22"/>
        </w:rPr>
        <w:t xml:space="preserve">Three panels on a single screen:</w:t>
      </w:r>
    </w:p>
    <w:p>
      <w:pPr>
        <w:spacing w:before="60" w:after="0"/>
      </w:pPr>
    </w:p>
    <w:p>
      <w:pPr>
        <w:spacing w:before="220" w:after="80"/>
      </w:pPr>
      <w:r>
        <w:rPr>
          <w:rFonts w:ascii="Arial" w:cs="Arial" w:eastAsia="Arial" w:hAnsi="Arial"/>
          <w:b/>
          <w:bCs/>
          <w:color w:val="334155"/>
          <w:sz w:val="24"/>
          <w:szCs w:val="24"/>
        </w:rPr>
        <w:t xml:space="preserve">Panel 1 — Summary Cards (top row)</w:t>
      </w:r>
    </w:p>
    <w:p>
      <w:pPr>
        <w:pStyle w:val="ListParagraph"/>
        <w:numPr>
          <w:ilvl w:val="0"/>
          <w:numId w:val="2"/>
        </w:numPr>
        <w:spacing w:before="55" w:after="55"/>
      </w:pPr>
      <w:r>
        <w:rPr>
          <w:rFonts w:ascii="Arial" w:cs="Arial" w:eastAsia="Arial" w:hAnsi="Arial"/>
          <w:color w:val="334155"/>
          <w:sz w:val="22"/>
          <w:szCs w:val="22"/>
        </w:rPr>
        <w:t xml:space="preserve">Loan Yield %  |  WACC %  |  Gross Spread %  |  Net Spread %</w:t>
      </w:r>
    </w:p>
    <w:p>
      <w:pPr>
        <w:pStyle w:val="ListParagraph"/>
        <w:numPr>
          <w:ilvl w:val="0"/>
          <w:numId w:val="2"/>
        </w:numPr>
        <w:spacing w:before="55" w:after="55"/>
      </w:pPr>
      <w:r>
        <w:rPr>
          <w:rFonts w:ascii="Arial" w:cs="Arial" w:eastAsia="Arial" w:hAnsi="Arial"/>
          <w:color w:val="334155"/>
          <w:sz w:val="22"/>
          <w:szCs w:val="22"/>
        </w:rPr>
        <w:t xml:space="preserve">Each card shows current period value + change vs. prior period (↑↓ arrow + bps)</w:t>
      </w:r>
    </w:p>
    <w:p>
      <w:pPr>
        <w:spacing w:before="60" w:after="0"/>
      </w:pPr>
    </w:p>
    <w:p>
      <w:pPr>
        <w:spacing w:before="220" w:after="80"/>
      </w:pPr>
      <w:r>
        <w:rPr>
          <w:rFonts w:ascii="Arial" w:cs="Arial" w:eastAsia="Arial" w:hAnsi="Arial"/>
          <w:b/>
          <w:bCs/>
          <w:color w:val="334155"/>
          <w:sz w:val="24"/>
          <w:szCs w:val="24"/>
        </w:rPr>
        <w:t xml:space="preserve">Panel 2 — Dollar Profit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Line Item</w:t>
            </w:r>
          </w:p>
        </w:tc>
        <w:tc>
          <w:tcPr>
            <w:tcW w:type="dxa" w:w="20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This Month</w:t>
            </w:r>
          </w:p>
        </w:tc>
        <w:tc>
          <w:tcPr>
            <w:tcW w:type="dxa" w:w="20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YTD</w:t>
            </w:r>
          </w:p>
        </w:tc>
        <w:tc>
          <w:tcPr>
            <w:tcW w:type="dxa" w:w="21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Custom Range</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Loan Revenue</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$244,816</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$689,432</w:t>
            </w:r>
          </w:p>
        </w:tc>
        <w:tc>
          <w:tcPr>
            <w:tcW w:type="dxa" w:w="2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Interest Paid to Investors</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($203,931)</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($571,204)</w:t>
            </w:r>
          </w:p>
        </w:tc>
        <w:tc>
          <w:tcPr>
            <w:tcW w:type="dxa" w:w="2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Gross Profit</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$40,885</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$118,228</w:t>
            </w:r>
          </w:p>
        </w:tc>
        <w:tc>
          <w:tcPr>
            <w:tcW w:type="dxa" w:w="2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Operating Expenses</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($0)</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($4,200)</w:t>
            </w:r>
          </w:p>
        </w:tc>
        <w:tc>
          <w:tcPr>
            <w:tcW w:type="dxa" w:w="2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Net Profit</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$40,885</w:t>
            </w:r>
          </w:p>
        </w:tc>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$114,028</w:t>
            </w:r>
          </w:p>
        </w:tc>
        <w:tc>
          <w:tcPr>
            <w:tcW w:type="dxa" w:w="2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t>
            </w:r>
          </w:p>
        </w:tc>
      </w:tr>
    </w:tbl>
    <w:p>
      <w:pPr>
        <w:spacing w:before="60" w:after="0"/>
      </w:pPr>
    </w:p>
    <w:p>
      <w:pPr>
        <w:spacing w:before="220" w:after="80"/>
      </w:pPr>
      <w:r>
        <w:rPr>
          <w:rFonts w:ascii="Arial" w:cs="Arial" w:eastAsia="Arial" w:hAnsi="Arial"/>
          <w:b/>
          <w:bCs/>
          <w:color w:val="334155"/>
          <w:sz w:val="24"/>
          <w:szCs w:val="24"/>
        </w:rPr>
        <w:t xml:space="preserve">Panel 3 — Spread Over Time Chart</w:t>
      </w:r>
    </w:p>
    <w:p>
      <w:pPr>
        <w:pStyle w:val="ListParagraph"/>
        <w:numPr>
          <w:ilvl w:val="0"/>
          <w:numId w:val="2"/>
        </w:numPr>
        <w:spacing w:before="55" w:after="55"/>
      </w:pPr>
      <w:r>
        <w:rPr>
          <w:rFonts w:ascii="Arial" w:cs="Arial" w:eastAsia="Arial" w:hAnsi="Arial"/>
          <w:color w:val="334155"/>
          <w:sz w:val="22"/>
          <w:szCs w:val="22"/>
        </w:rPr>
        <w:t xml:space="preserve">Dual-area chart: Gross Spread (%) and Net Spread (%) plotted monthly</w:t>
      </w:r>
    </w:p>
    <w:p>
      <w:pPr>
        <w:pStyle w:val="ListParagraph"/>
        <w:numPr>
          <w:ilvl w:val="0"/>
          <w:numId w:val="2"/>
        </w:numPr>
        <w:spacing w:before="55" w:after="55"/>
      </w:pPr>
      <w:r>
        <w:rPr>
          <w:rFonts w:ascii="Arial" w:cs="Arial" w:eastAsia="Arial" w:hAnsi="Arial"/>
          <w:color w:val="334155"/>
          <w:sz w:val="22"/>
          <w:szCs w:val="22"/>
        </w:rPr>
        <w:t xml:space="preserve">Shaded area between lines = expense drag</w:t>
      </w:r>
    </w:p>
    <w:p>
      <w:pPr>
        <w:pStyle w:val="ListParagraph"/>
        <w:numPr>
          <w:ilvl w:val="0"/>
          <w:numId w:val="2"/>
        </w:numPr>
        <w:spacing w:before="55" w:after="55"/>
      </w:pPr>
      <w:r>
        <w:rPr>
          <w:rFonts w:ascii="Arial" w:cs="Arial" w:eastAsia="Arial" w:hAnsi="Arial"/>
          <w:color w:val="334155"/>
          <w:sz w:val="22"/>
          <w:szCs w:val="22"/>
        </w:rPr>
        <w:t xml:space="preserve">Zero line marked — any dip below zero immediately visible</w:t>
      </w:r>
    </w:p>
    <w:p>
      <w:pPr>
        <w:pStyle w:val="ListParagraph"/>
        <w:numPr>
          <w:ilvl w:val="0"/>
          <w:numId w:val="2"/>
        </w:numPr>
        <w:spacing w:before="55" w:after="55"/>
      </w:pPr>
      <w:r>
        <w:rPr>
          <w:rFonts w:ascii="Arial" w:cs="Arial" w:eastAsia="Arial" w:hAnsi="Arial"/>
          <w:color w:val="334155"/>
          <w:sz w:val="22"/>
          <w:szCs w:val="22"/>
        </w:rPr>
        <w:t xml:space="preserve">Same date range controls as Cost of Capital chart</w:t>
      </w:r>
    </w:p>
    <w:p>
      <w:pPr>
        <w:pStyle w:val="ListParagraph"/>
        <w:numPr>
          <w:ilvl w:val="0"/>
          <w:numId w:val="2"/>
        </w:numPr>
        <w:spacing w:before="55" w:after="55"/>
      </w:pPr>
      <w:r>
        <w:rPr>
          <w:rFonts w:ascii="Arial" w:cs="Arial" w:eastAsia="Arial" w:hAnsi="Arial"/>
          <w:color w:val="334155"/>
          <w:sz w:val="22"/>
          <w:szCs w:val="22"/>
        </w:rPr>
        <w:t xml:space="preserve">Hover tooltip: loan yield, WACC, gross spread, net spread for that month</w:t>
      </w:r>
    </w:p>
    <w:p>
      <w:pPr>
        <w:spacing w:before="100" w:after="0"/>
      </w:pPr>
    </w:p>
    <w:p>
      <w:pPr>
        <w:pStyle w:val="Heading2"/>
        <w:spacing w:before="300" w:after="120"/>
      </w:pPr>
      <w:r>
        <w:rPr>
          <w:rFonts w:ascii="Arial" w:cs="Arial" w:eastAsia="Arial" w:hAnsi="Arial"/>
          <w:b/>
          <w:bCs/>
          <w:color w:val="1E293B"/>
          <w:sz w:val="28"/>
          <w:szCs w:val="28"/>
        </w:rPr>
        <w:t xml:space="preserve">B.3 Date Range Controls</w:t>
      </w:r>
    </w:p>
    <w:p>
      <w:pPr>
        <w:pStyle w:val="ListParagraph"/>
        <w:numPr>
          <w:ilvl w:val="0"/>
          <w:numId w:val="2"/>
        </w:numPr>
        <w:spacing w:before="55" w:after="55"/>
      </w:pPr>
      <w:r>
        <w:rPr>
          <w:rFonts w:ascii="Arial" w:cs="Arial" w:eastAsia="Arial" w:hAnsi="Arial"/>
          <w:color w:val="334155"/>
          <w:sz w:val="22"/>
          <w:szCs w:val="22"/>
        </w:rPr>
        <w:t xml:space="preserve">Quick selectors: This Month / QTD / YTD / Last 12 Months / All Time</w:t>
      </w:r>
    </w:p>
    <w:p>
      <w:pPr>
        <w:pStyle w:val="ListParagraph"/>
        <w:numPr>
          <w:ilvl w:val="0"/>
          <w:numId w:val="2"/>
        </w:numPr>
        <w:spacing w:before="55" w:after="55"/>
      </w:pPr>
      <w:r>
        <w:rPr>
          <w:rFonts w:ascii="Arial" w:cs="Arial" w:eastAsia="Arial" w:hAnsi="Arial"/>
          <w:color w:val="334155"/>
          <w:sz w:val="22"/>
          <w:szCs w:val="22"/>
        </w:rPr>
        <w:t xml:space="preserve">Custom date range picker (from first closed month to any subsequent closed month)</w:t>
      </w:r>
    </w:p>
    <w:p>
      <w:pPr>
        <w:pStyle w:val="ListParagraph"/>
        <w:numPr>
          <w:ilvl w:val="0"/>
          <w:numId w:val="2"/>
        </w:numPr>
        <w:spacing w:before="55" w:after="55"/>
      </w:pPr>
      <w:r>
        <w:rPr>
          <w:rFonts w:ascii="Arial" w:cs="Arial" w:eastAsia="Arial" w:hAnsi="Arial"/>
          <w:color w:val="334155"/>
          <w:sz w:val="22"/>
          <w:szCs w:val="22"/>
        </w:rPr>
        <w:t xml:space="preserve">All calculations recompute dynamically for the selected range</w:t>
      </w:r>
    </w:p>
    <w:p>
      <w:pPr>
        <w:spacing w:before="100" w:after="0"/>
      </w:pPr>
    </w:p>
    <w:p>
      <w:pPr>
        <w:pStyle w:val="Heading2"/>
        <w:spacing w:before="300" w:after="120"/>
      </w:pPr>
      <w:r>
        <w:rPr>
          <w:rFonts w:ascii="Arial" w:cs="Arial" w:eastAsia="Arial" w:hAnsi="Arial"/>
          <w:b/>
          <w:bCs/>
          <w:color w:val="1E293B"/>
          <w:sz w:val="28"/>
          <w:szCs w:val="28"/>
        </w:rPr>
        <w:t xml:space="preserve">B.4 Slack Command</w:t>
      </w:r>
    </w:p>
    <w:p>
      <w:pPr>
        <w:pStyle w:val="ListParagraph"/>
        <w:numPr>
          <w:ilvl w:val="0"/>
          <w:numId w:val="2"/>
        </w:numPr>
        <w:spacing w:before="55" w:after="55"/>
      </w:pPr>
      <w:r>
        <w:rPr>
          <w:rFonts w:ascii="Arial" w:cs="Arial" w:eastAsia="Arial" w:hAnsi="Arial"/>
          <w:color w:val="334155"/>
          <w:sz w:val="22"/>
          <w:szCs w:val="22"/>
        </w:rPr>
        <w:t xml:space="preserve">/fund spread [period] — returns Loan Yield, WACC, Gross Spread, Net Spread, Gross Profit $, Net Profit $ for the period as a formatted Slack message</w:t>
      </w:r>
    </w:p>
    <w:p>
      <w:pPr>
        <w:pStyle w:val="ListParagraph"/>
        <w:numPr>
          <w:ilvl w:val="0"/>
          <w:numId w:val="2"/>
        </w:numPr>
        <w:spacing w:before="55" w:after="55"/>
      </w:pPr>
      <w:r>
        <w:rPr>
          <w:rFonts w:ascii="Arial" w:cs="Arial" w:eastAsia="Arial" w:hAnsi="Arial"/>
          <w:color w:val="334155"/>
          <w:sz w:val="22"/>
          <w:szCs w:val="22"/>
        </w:rPr>
        <w:t xml:space="preserve">Period options: current-month, ytd, last-12, or YYYY-MM:YYYY-MM for a custom range</w:t>
      </w:r>
    </w:p>
    <w:p>
      <w:pPr>
        <w:spacing w:before="100" w:after="0"/>
      </w:pPr>
    </w:p>
    <w:p>
      <w:pPr>
        <w:pBdr>
          <w:bottom w:val="single" w:color="E2E8F0" w:sz="2" w:space="1"/>
        </w:pBdr>
        <w:spacing w:before="200" w:after="200"/>
      </w:pPr>
    </w:p>
    <w:p>
      <w:pPr>
        <w:pStyle w:val="Heading1"/>
        <w:spacing w:before="480" w:after="160"/>
      </w:pPr>
      <w:r>
        <w:rPr>
          <w:rFonts w:ascii="Arial" w:cs="Arial" w:eastAsia="Arial" w:hAnsi="Arial"/>
          <w:b/>
          <w:bCs/>
          <w:color w:val="0D9488"/>
          <w:sz w:val="38"/>
          <w:szCs w:val="38"/>
        </w:rPr>
        <w:t xml:space="preserve">Report C — Growth Charts</w:t>
      </w:r>
    </w:p>
    <w:p>
      <w:pPr>
        <w:spacing w:before="80" w:after="80"/>
      </w:pPr>
      <w:r>
        <w:rPr>
          <w:rFonts w:ascii="Arial" w:cs="Arial" w:eastAsia="Arial" w:hAnsi="Arial"/>
          <w:color w:val="334155"/>
          <w:sz w:val="22"/>
          <w:szCs w:val="22"/>
        </w:rPr>
        <w:t xml:space="preserve">A visual analytics dashboard showing how the fund has grown over time across five key metrics. All charts share the same date range controls and are displayed on a single scrollable page.</w:t>
      </w:r>
    </w:p>
    <w:p>
      <w:pPr>
        <w:spacing w:before="100" w:after="0"/>
      </w:pPr>
    </w:p>
    <w:p>
      <w:pPr>
        <w:pStyle w:val="Heading2"/>
        <w:spacing w:before="300" w:after="120"/>
      </w:pPr>
      <w:r>
        <w:rPr>
          <w:rFonts w:ascii="Arial" w:cs="Arial" w:eastAsia="Arial" w:hAnsi="Arial"/>
          <w:b/>
          <w:bCs/>
          <w:color w:val="1E293B"/>
          <w:sz w:val="28"/>
          <w:szCs w:val="28"/>
        </w:rPr>
        <w:t xml:space="preserve">C.1 Charts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c>
          <w:tcPr>
            <w:tcW w:type="dxa" w:w="20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Chart</w:t>
            </w:r>
          </w:p>
        </w:tc>
        <w:tc>
          <w:tcPr>
            <w:tcW w:type="dxa" w:w="14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Type</w:t>
            </w:r>
          </w:p>
        </w:tc>
        <w:tc>
          <w:tcPr>
            <w:tcW w:type="dxa" w:w="34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Metrics Plotted</w:t>
            </w:r>
          </w:p>
        </w:tc>
        <w:tc>
          <w:tcPr>
            <w:tcW w:type="dxa" w:w="25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Total AUM</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Area chart</w:t>
            </w:r>
          </w:p>
        </w:tc>
        <w:tc>
          <w:tcPr>
            <w:tcW w:type="dxa" w:w="3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Total fund AUM ($) at each month-end</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Primary growth indicator. Milestone annotations optional (e.g. first $25M).</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Investor Count</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Bar + line combo</w:t>
            </w:r>
          </w:p>
        </w:tc>
        <w:tc>
          <w:tcPr>
            <w:tcW w:type="dxa" w:w="3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 active investors per month (bars) + cumulative total (line)</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New investors vs. departures visible from bar height changes month to month.</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Cost of Capital</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Dual-line chart</w:t>
            </w:r>
          </w:p>
        </w:tc>
        <w:tc>
          <w:tcPr>
            <w:tcW w:type="dxa" w:w="3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WACC (%) + Effective Cost of Capital (%)</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Shared with Report A time series view — same data, same chart.</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Gross &amp; Net Spread</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Dual-area chart</w:t>
            </w:r>
          </w:p>
        </w:tc>
        <w:tc>
          <w:tcPr>
            <w:tcW w:type="dxa" w:w="3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Gross Spread (%) + Net Spread (%)</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Shared with Report B Panel 3 — same chart reused.</w:t>
            </w:r>
          </w:p>
        </w:tc>
      </w:tr>
      <w:tr>
        <w:tc>
          <w:tcPr>
            <w:tcW w:type="dxa" w:w="2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Capital Flow</w:t>
            </w:r>
          </w:p>
        </w:tc>
        <w:tc>
          <w:tcPr>
            <w:tcW w:type="dxa" w:w="1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Stacked bar chart</w:t>
            </w:r>
          </w:p>
        </w:tc>
        <w:tc>
          <w:tcPr>
            <w:tcW w:type="dxa" w:w="3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Deposits ($) vs. Redemptions ($) per month</w:t>
            </w:r>
          </w:p>
        </w:tc>
        <w:tc>
          <w:tcPr>
            <w:tcW w:type="dxa" w:w="2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Net flow line overlaid. Months where redemptions exceed deposits immediately visible.</w:t>
            </w:r>
          </w:p>
        </w:tc>
      </w:tr>
    </w:tbl>
    <w:p>
      <w:pPr>
        <w:spacing w:before="100" w:after="0"/>
      </w:pPr>
    </w:p>
    <w:p>
      <w:pPr>
        <w:pStyle w:val="Heading2"/>
        <w:spacing w:before="300" w:after="120"/>
      </w:pPr>
      <w:r>
        <w:rPr>
          <w:rFonts w:ascii="Arial" w:cs="Arial" w:eastAsia="Arial" w:hAnsi="Arial"/>
          <w:b/>
          <w:bCs/>
          <w:color w:val="1E293B"/>
          <w:sz w:val="28"/>
          <w:szCs w:val="28"/>
        </w:rPr>
        <w:t xml:space="preserve">C.2 Shared Controls</w:t>
      </w:r>
    </w:p>
    <w:p>
      <w:pPr>
        <w:pStyle w:val="ListParagraph"/>
        <w:numPr>
          <w:ilvl w:val="0"/>
          <w:numId w:val="2"/>
        </w:numPr>
        <w:spacing w:before="55" w:after="55"/>
      </w:pPr>
      <w:r>
        <w:rPr>
          <w:rFonts w:ascii="Arial" w:cs="Arial" w:eastAsia="Arial" w:hAnsi="Arial"/>
          <w:color w:val="334155"/>
          <w:sz w:val="22"/>
          <w:szCs w:val="22"/>
        </w:rPr>
        <w:t xml:space="preserve">Date range picker at top of page — applies to all charts simultaneously</w:t>
      </w:r>
    </w:p>
    <w:p>
      <w:pPr>
        <w:pStyle w:val="ListParagraph"/>
        <w:numPr>
          <w:ilvl w:val="0"/>
          <w:numId w:val="2"/>
        </w:numPr>
        <w:spacing w:before="55" w:after="55"/>
      </w:pPr>
      <w:r>
        <w:rPr>
          <w:rFonts w:ascii="Arial" w:cs="Arial" w:eastAsia="Arial" w:hAnsi="Arial"/>
          <w:color w:val="334155"/>
          <w:sz w:val="22"/>
          <w:szCs w:val="22"/>
        </w:rPr>
        <w:t xml:space="preserve">Quick selectors: Last 6M / Last 12M / Last 24M / All Time / Custom</w:t>
      </w:r>
    </w:p>
    <w:p>
      <w:pPr>
        <w:pStyle w:val="ListParagraph"/>
        <w:numPr>
          <w:ilvl w:val="0"/>
          <w:numId w:val="2"/>
        </w:numPr>
        <w:spacing w:before="55" w:after="55"/>
      </w:pPr>
      <w:r>
        <w:rPr>
          <w:rFonts w:ascii="Arial" w:cs="Arial" w:eastAsia="Arial" w:hAnsi="Arial"/>
          <w:color w:val="334155"/>
          <w:sz w:val="22"/>
          <w:szCs w:val="22"/>
        </w:rPr>
        <w:t xml:space="preserve">All charts render using Recharts (already in Next.js stack) — no additional library needed</w:t>
      </w:r>
    </w:p>
    <w:p>
      <w:pPr>
        <w:pStyle w:val="ListParagraph"/>
        <w:numPr>
          <w:ilvl w:val="0"/>
          <w:numId w:val="2"/>
        </w:numPr>
        <w:spacing w:before="55" w:after="55"/>
      </w:pPr>
      <w:r>
        <w:rPr>
          <w:rFonts w:ascii="Arial" w:cs="Arial" w:eastAsia="Arial" w:hAnsi="Arial"/>
          <w:color w:val="334155"/>
          <w:sz w:val="22"/>
          <w:szCs w:val="22"/>
        </w:rPr>
        <w:t xml:space="preserve">Each chart individually downloadable as PNG for reporting or presentations</w:t>
      </w:r>
    </w:p>
    <w:p>
      <w:pPr>
        <w:pStyle w:val="ListParagraph"/>
        <w:numPr>
          <w:ilvl w:val="0"/>
          <w:numId w:val="2"/>
        </w:numPr>
        <w:spacing w:before="55" w:after="55"/>
      </w:pPr>
      <w:r>
        <w:rPr>
          <w:rFonts w:ascii="Arial" w:cs="Arial" w:eastAsia="Arial" w:hAnsi="Arial"/>
          <w:color w:val="334155"/>
          <w:sz w:val="22"/>
          <w:szCs w:val="22"/>
        </w:rPr>
        <w:t xml:space="preserve">Full data table toggle below each chart — shows the raw monthly numbers behind the chart</w:t>
      </w:r>
    </w:p>
    <w:p>
      <w:pPr>
        <w:spacing w:before="100" w:after="0"/>
      </w:pPr>
    </w:p>
    <w:p>
      <w:pPr>
        <w:pStyle w:val="Heading2"/>
        <w:spacing w:before="300" w:after="120"/>
      </w:pPr>
      <w:r>
        <w:rPr>
          <w:rFonts w:ascii="Arial" w:cs="Arial" w:eastAsia="Arial" w:hAnsi="Arial"/>
          <w:b/>
          <w:bCs/>
          <w:color w:val="1E293B"/>
          <w:sz w:val="28"/>
          <w:szCs w:val="28"/>
        </w:rPr>
        <w:t xml:space="preserve">C.3 Dashboard Integration</w:t>
      </w:r>
    </w:p>
    <w:p>
      <w:pPr>
        <w:spacing w:before="80" w:after="80"/>
      </w:pPr>
      <w:r>
        <w:rPr>
          <w:rFonts w:ascii="Arial" w:cs="Arial" w:eastAsia="Arial" w:hAnsi="Arial"/>
          <w:color w:val="334155"/>
          <w:sz w:val="22"/>
          <w:szCs w:val="22"/>
        </w:rPr>
        <w:t xml:space="preserve">The Growth Charts page is a dedicated route (/analytics) linked from the main dashboard nav. A condensed preview widget on the main dashboard shows:</w:t>
      </w:r>
    </w:p>
    <w:p>
      <w:pPr>
        <w:pStyle w:val="ListParagraph"/>
        <w:numPr>
          <w:ilvl w:val="0"/>
          <w:numId w:val="2"/>
        </w:numPr>
        <w:spacing w:before="55" w:after="55"/>
      </w:pPr>
      <w:r>
        <w:rPr>
          <w:rFonts w:ascii="Arial" w:cs="Arial" w:eastAsia="Arial" w:hAnsi="Arial"/>
          <w:color w:val="334155"/>
          <w:sz w:val="22"/>
          <w:szCs w:val="22"/>
        </w:rPr>
        <w:t xml:space="preserve">AUM sparkline (last 6 months, no axes — just the trend shape)</w:t>
      </w:r>
    </w:p>
    <w:p>
      <w:pPr>
        <w:pStyle w:val="ListParagraph"/>
        <w:numPr>
          <w:ilvl w:val="0"/>
          <w:numId w:val="2"/>
        </w:numPr>
        <w:spacing w:before="55" w:after="55"/>
      </w:pPr>
      <w:r>
        <w:rPr>
          <w:rFonts w:ascii="Arial" w:cs="Arial" w:eastAsia="Arial" w:hAnsi="Arial"/>
          <w:color w:val="334155"/>
          <w:sz w:val="22"/>
          <w:szCs w:val="22"/>
        </w:rPr>
        <w:t xml:space="preserve">Current WACC % and Gross Spread % as single stat cards</w:t>
      </w:r>
    </w:p>
    <w:p>
      <w:pPr>
        <w:pStyle w:val="ListParagraph"/>
        <w:numPr>
          <w:ilvl w:val="0"/>
          <w:numId w:val="2"/>
        </w:numPr>
        <w:spacing w:before="55" w:after="55"/>
      </w:pPr>
      <w:r>
        <w:rPr>
          <w:rFonts w:ascii="Arial" w:cs="Arial" w:eastAsia="Arial" w:hAnsi="Arial"/>
          <w:color w:val="334155"/>
          <w:sz w:val="22"/>
          <w:szCs w:val="22"/>
        </w:rPr>
        <w:t xml:space="preserve">Link to full analytics page</w:t>
      </w:r>
    </w:p>
    <w:p>
      <w:pPr>
        <w:spacing w:before="100" w:after="0"/>
      </w:pPr>
    </w:p>
    <w:p>
      <w:pPr>
        <w:pStyle w:val="Heading2"/>
        <w:spacing w:before="300" w:after="120"/>
      </w:pPr>
      <w:r>
        <w:rPr>
          <w:rFonts w:ascii="Arial" w:cs="Arial" w:eastAsia="Arial" w:hAnsi="Arial"/>
          <w:b/>
          <w:bCs/>
          <w:color w:val="1E293B"/>
          <w:sz w:val="28"/>
          <w:szCs w:val="28"/>
        </w:rPr>
        <w:t xml:space="preserve">C.4 Slack Command</w:t>
      </w:r>
    </w:p>
    <w:p>
      <w:pPr>
        <w:pStyle w:val="ListParagraph"/>
        <w:numPr>
          <w:ilvl w:val="0"/>
          <w:numId w:val="2"/>
        </w:numPr>
        <w:spacing w:before="55" w:after="55"/>
      </w:pPr>
      <w:r>
        <w:rPr>
          <w:rFonts w:ascii="Arial" w:cs="Arial" w:eastAsia="Arial" w:hAnsi="Arial"/>
          <w:color w:val="334155"/>
          <w:sz w:val="22"/>
          <w:szCs w:val="22"/>
        </w:rPr>
        <w:t xml:space="preserve">/fund growth [metric] [period] — returns a text summary of the metric for the period</w:t>
      </w:r>
    </w:p>
    <w:p>
      <w:pPr>
        <w:pStyle w:val="ListParagraph"/>
        <w:numPr>
          <w:ilvl w:val="0"/>
          <w:numId w:val="2"/>
        </w:numPr>
        <w:spacing w:before="55" w:after="55"/>
      </w:pPr>
      <w:r>
        <w:rPr>
          <w:rFonts w:ascii="Arial" w:cs="Arial" w:eastAsia="Arial" w:hAnsi="Arial"/>
          <w:color w:val="334155"/>
          <w:sz w:val="22"/>
          <w:szCs w:val="22"/>
        </w:rPr>
        <w:t xml:space="preserve">Metric options: aum, investors, spread, capital-flow</w:t>
      </w:r>
    </w:p>
    <w:p>
      <w:pPr>
        <w:pStyle w:val="ListParagraph"/>
        <w:numPr>
          <w:ilvl w:val="0"/>
          <w:numId w:val="2"/>
        </w:numPr>
        <w:spacing w:before="55" w:after="55"/>
      </w:pPr>
      <w:r>
        <w:rPr>
          <w:rFonts w:ascii="Arial" w:cs="Arial" w:eastAsia="Arial" w:hAnsi="Arial"/>
          <w:color w:val="334155"/>
          <w:sz w:val="22"/>
          <w:szCs w:val="22"/>
        </w:rPr>
        <w:t xml:space="preserve">Example: /fund growth aum ytd → 'AUM grew from $24.1M to $26.9M YTD (+$2.8M, +11.6%)'</w:t>
      </w:r>
    </w:p>
    <w:p>
      <w:pPr>
        <w:spacing w:before="100" w:after="0"/>
      </w:pPr>
    </w:p>
    <w:p>
      <w:pPr>
        <w:pBdr>
          <w:bottom w:val="single" w:color="E2E8F0" w:sz="2" w:space="1"/>
        </w:pBdr>
        <w:spacing w:before="200" w:after="200"/>
      </w:pPr>
    </w:p>
    <w:p>
      <w:pPr>
        <w:pStyle w:val="Heading1"/>
        <w:spacing w:before="480" w:after="160"/>
      </w:pPr>
      <w:r>
        <w:rPr>
          <w:rFonts w:ascii="Arial" w:cs="Arial" w:eastAsia="Arial" w:hAnsi="Arial"/>
          <w:b/>
          <w:bCs/>
          <w:color w:val="0D9488"/>
          <w:sz w:val="38"/>
          <w:szCs w:val="38"/>
        </w:rPr>
        <w:t xml:space="preserve">Data Requirements for Analytics</w:t>
      </w:r>
    </w:p>
    <w:p>
      <w:pPr>
        <w:spacing w:before="80" w:after="80"/>
      </w:pPr>
      <w:r>
        <w:rPr>
          <w:rFonts w:ascii="Arial" w:cs="Arial" w:eastAsia="Arial" w:hAnsi="Arial"/>
          <w:color w:val="334155"/>
          <w:sz w:val="22"/>
          <w:szCs w:val="22"/>
        </w:rPr>
        <w:t xml:space="preserve">These reports rely on data that must be consistently captured in the system. The following fields are required for all calculations to work correctly: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Required Data</w:t>
            </w:r>
          </w:p>
        </w:tc>
        <w:tc>
          <w:tcPr>
            <w:tcW w:type="dxa" w:w="24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Source</w:t>
            </w:r>
          </w:p>
        </w:tc>
        <w:tc>
          <w:tcPr>
            <w:tcW w:type="dxa" w:w="41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Monthly loan revenue</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Manual entry by admin each month</w:t>
            </w:r>
          </w:p>
        </w:tc>
        <w:tc>
          <w:tcPr>
            <w:tcW w:type="dxa" w:w="4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Single $ figure required minimum. Line-item loan entries optional but improve yield calc accuracy.</w:t>
            </w:r>
          </w:p>
        </w:tc>
      </w:tr>
      <w:tr>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Loans deployed balance</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Manual entry by admin each month</w:t>
            </w:r>
          </w:p>
        </w:tc>
        <w:tc>
          <w:tcPr>
            <w:tcW w:type="dxa" w:w="4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Required for Loan Yield calculation. Can be entered as a single total.</w:t>
            </w:r>
          </w:p>
        </w:tc>
      </w:tr>
      <w:tr>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Operating expenses</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Bank statement upload + Claude categorization</w:t>
            </w:r>
          </w:p>
        </w:tc>
        <w:tc>
          <w:tcPr>
            <w:tcW w:type="dxa" w:w="4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Required for Net Spread and Net Profit. Months with no upload default to $0 expenses with a warning flag.</w:t>
            </w:r>
          </w:p>
        </w:tc>
      </w:tr>
      <w:tr>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Month-end AUM snapshot</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Auto-computed from investor balances at month close</w:t>
            </w:r>
          </w:p>
        </w:tc>
        <w:tc>
          <w:tcPr>
            <w:tcW w:type="dxa" w:w="4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Stored automatically when month is closed — no manual entry needed.</w:t>
            </w:r>
          </w:p>
        </w:tc>
      </w:tr>
      <w:tr>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Month-end investor count</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Auto-computed at month close</w:t>
            </w:r>
          </w:p>
        </w:tc>
        <w:tc>
          <w:tcPr>
            <w:tcW w:type="dxa" w:w="4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Stored automatically.</w:t>
            </w:r>
          </w:p>
        </w:tc>
      </w:tr>
      <w:tr>
        <w:tc>
          <w:tcPr>
            <w:tcW w:type="dxa" w:w="2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Monthly interest paid / DRIP</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Auto-computed from PAD + DRIP transactions</w:t>
            </w:r>
          </w:p>
        </w:tc>
        <w:tc>
          <w:tcPr>
            <w:tcW w:type="dxa" w:w="41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Stored automatically.</w:t>
            </w:r>
          </w:p>
        </w:tc>
      </w:tr>
    </w:tbl>
    <w:p>
      <w:pPr>
        <w:spacing w:before="100" w:after="0"/>
      </w:pPr>
    </w:p>
    <w:p>
      <w:pPr>
        <w:shd w:fill="EEF2FF" w:val="clear"/>
        <w:spacing w:before="100" w:after="100"/>
        <w:ind w:left="200" w:right="200"/>
      </w:pPr>
      <w:r>
        <w:rPr>
          <w:rFonts w:ascii="Arial" w:cs="Arial" w:eastAsia="Arial" w:hAnsi="Arial"/>
          <w:i/>
          <w:iCs/>
          <w:color w:val="4338CA"/>
          <w:sz w:val="20"/>
          <w:szCs w:val="20"/>
        </w:rPr>
        <w:t xml:space="preserve">  ℹ  If loan revenue or loans deployed are not entered for a month, the Profit &amp; Spread and Cost of Capital reports will show a warning for that period and exclude it from averages. Admins are prompted to complete these fields when closing a month.</w:t>
      </w:r>
    </w:p>
    <w:p>
      <w:pPr>
        <w:spacing w:before="100" w:after="0"/>
      </w:pPr>
    </w:p>
    <w:p>
      <w:pPr>
        <w:pStyle w:val="Heading1"/>
        <w:spacing w:before="480" w:after="160"/>
      </w:pPr>
      <w:r>
        <w:rPr>
          <w:rFonts w:ascii="Arial" w:cs="Arial" w:eastAsia="Arial" w:hAnsi="Arial"/>
          <w:b/>
          <w:bCs/>
          <w:color w:val="0D9488"/>
          <w:sz w:val="38"/>
          <w:szCs w:val="38"/>
        </w:rPr>
        <w:t xml:space="preserve">Summary — New Reports &amp;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Report</w:t>
            </w:r>
          </w:p>
        </w:tc>
        <w:tc>
          <w:tcPr>
            <w:tcW w:type="dxa" w:w="18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Section</w:t>
            </w:r>
          </w:p>
        </w:tc>
        <w:tc>
          <w:tcPr>
            <w:tcW w:type="dxa" w:w="45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New Slack Commands</w:t>
            </w:r>
          </w:p>
        </w:tc>
      </w:tr>
      <w:tr>
        <w:tc>
          <w:tcPr>
            <w:tcW w:type="dxa" w:w="3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Cost of Capital (point-in-time + time series)</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Report A</w:t>
            </w:r>
          </w:p>
        </w:tc>
        <w:tc>
          <w:tcPr>
            <w:tcW w:type="dxa" w:w="4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/fund cost-of-capital [month]</w:t>
            </w:r>
          </w:p>
        </w:tc>
      </w:tr>
      <w:tr>
        <w:tc>
          <w:tcPr>
            <w:tcW w:type="dxa" w:w="3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Profit &amp; Spread (gross + net, any range)</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Report B</w:t>
            </w:r>
          </w:p>
        </w:tc>
        <w:tc>
          <w:tcPr>
            <w:tcW w:type="dxa" w:w="4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/fund spread [period]</w:t>
            </w:r>
          </w:p>
        </w:tc>
      </w:tr>
      <w:tr>
        <w:tc>
          <w:tcPr>
            <w:tcW w:type="dxa" w:w="30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Growth Charts (AUM, investors, CoC, spread, flow)</w:t>
            </w:r>
          </w:p>
        </w:tc>
        <w:tc>
          <w:tcPr>
            <w:tcW w:type="dxa" w:w="18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Report C</w:t>
            </w:r>
          </w:p>
        </w:tc>
        <w:tc>
          <w:tcPr>
            <w:tcW w:type="dxa" w:w="45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/fund growth [metric] [period]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Updated Section in Main Spec</w:t>
            </w:r>
          </w:p>
        </w:tc>
        <w:tc>
          <w:tcPr>
            <w:tcW w:type="dxa" w:w="5760"/>
            <w:tcBorders>
              <w:top w:val="single" w:color="CBD5E1" w:sz="1"/>
              <w:left w:val="single" w:color="CBD5E1" w:sz="1"/>
              <w:bottom w:val="single" w:color="CBD5E1" w:sz="1"/>
              <w:right w:val="single" w:color="CBD5E1" w:sz="1"/>
            </w:tcBorders>
            <w:shd w:fill="0D9488" w:val="clear"/>
            <w:tcMar>
              <w:top w:type="dxa" w:w="90"/>
              <w:left w:type="dxa" w:w="140"/>
              <w:bottom w:type="dxa" w:w="90"/>
              <w:right w:type="dxa" w:w="140"/>
            </w:tcMar>
            <w:vAlign w:val="center"/>
          </w:tcPr>
          <w:p>
            <w:r>
              <w:rPr>
                <w:rFonts w:ascii="Arial" w:cs="Arial" w:eastAsia="Arial" w:hAnsi="Arial"/>
                <w:b/>
                <w:bCs/>
                <w:i w:val="false"/>
                <w:iCs w:val="false"/>
                <w:color w:val="FFFFFF"/>
                <w:sz w:val="20"/>
                <w:szCs w:val="20"/>
              </w:rPr>
              <w:t xml:space="preserve">Change</w:t>
            </w:r>
          </w:p>
        </w:tc>
      </w:tr>
      <w:tr>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§13.2 Fund Reports — add 3 rows</w:t>
            </w:r>
          </w:p>
        </w:tc>
        <w:tc>
          <w:tcPr>
            <w:tcW w:type="dxa" w:w="57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Add: Cost of Capital Report, Profit &amp; Spread Report, Growth Analytics Dashboard</w:t>
            </w:r>
          </w:p>
        </w:tc>
      </w:tr>
      <w:tr>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§14.1 Slash Commands — add 3 rows</w:t>
            </w:r>
          </w:p>
        </w:tc>
        <w:tc>
          <w:tcPr>
            <w:tcW w:type="dxa" w:w="57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/fund cost-of-capital, /fund spread, /fund growth</w:t>
            </w:r>
          </w:p>
        </w:tc>
      </w:tr>
      <w:tr>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§15.1 Database Tables — add 1 row</w:t>
            </w:r>
          </w:p>
        </w:tc>
        <w:tc>
          <w:tcPr>
            <w:tcW w:type="dxa" w:w="57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monthly_fund_stats: stores month-end AUM snapshot, investor count, loans deployed, loan revenue — populated automatically on month close, manually completable for revenue/loans fields</w:t>
            </w:r>
          </w:p>
        </w:tc>
      </w:tr>
      <w:tr>
        <w:tc>
          <w:tcPr>
            <w:tcW w:type="dxa" w:w="360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§16 Build Plan — Phase 5 scope</w:t>
            </w:r>
          </w:p>
        </w:tc>
        <w:tc>
          <w:tcPr>
            <w:tcW w:type="dxa" w:w="5760"/>
            <w:tcBorders>
              <w:top w:val="single" w:color="CBD5E1" w:sz="1"/>
              <w:left w:val="single" w:color="CBD5E1" w:sz="1"/>
              <w:bottom w:val="single" w:color="CBD5E1" w:sz="1"/>
              <w:right w:val="single" w:color="CBD5E1" w:sz="1"/>
            </w:tcBorders>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Add analytics/reporting page and growth charts to Phase 5 scope (+0.5 weeks estimate)</w:t>
            </w:r>
          </w:p>
        </w:tc>
      </w:tr>
    </w:tbl>
    <w:p>
      <w:pPr>
        <w:spacing w:before="200" w:after="0"/>
      </w:pPr>
    </w:p>
    <w:p>
      <w:pPr>
        <w:pBdr>
          <w:bottom w:val="single" w:color="E2E8F0" w:sz="2" w:space="1"/>
        </w:pBdr>
        <w:spacing w:before="200" w:after="200"/>
      </w:pPr>
    </w:p>
    <w:p>
      <w:pPr>
        <w:spacing w:before="80" w:after="0"/>
      </w:pPr>
    </w:p>
    <w:p>
      <w:pPr>
        <w:jc w:val="center"/>
      </w:pPr>
      <w:r>
        <w:rPr>
          <w:rFonts w:ascii="Arial" w:cs="Arial" w:eastAsia="Arial" w:hAnsi="Arial"/>
          <w:color w:val="94A3B8"/>
          <w:sz w:val="18"/>
          <w:szCs w:val="18"/>
        </w:rPr>
        <w:t xml:space="preserve">Stonefield Capital  ·  Reports Addendum to Spec v3.0  ·  March 2026  ·  Internal &amp; Confidential</w:t>
      </w:r>
    </w:p>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after="80"/>
    </w:pPr>
    <w:r>
      <w:rPr>
        <w:rFonts w:ascii="Arial" w:cs="Arial" w:eastAsia="Arial" w:hAnsi="Arial"/>
        <w:b/>
        <w:bCs/>
        <w:color w:val="0D9488"/>
        <w:sz w:val="20"/>
        <w:szCs w:val="20"/>
      </w:rPr>
      <w:t xml:space="preserve">Stonefield Capital  </w:t>
    </w:r>
    <w:r>
      <w:rPr>
        <w:rFonts w:ascii="Arial" w:cs="Arial" w:eastAsia="Arial" w:hAnsi="Arial"/>
        <w:color w:val="94A3B8"/>
        <w:sz w:val="20"/>
        <w:szCs w:val="20"/>
      </w:rPr>
      <w:t xml:space="preserve">MIC Fund Platform  ·  Reports Addendum to Spec v3.0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9488"/>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2026-03-12T18:44:16.406Z</dcterms:created>
  <dcterms:modified xsi:type="dcterms:W3CDTF">2026-03-12T18:44:16.408Z</dcterms:modified>
</cp:coreProperties>
</file>

<file path=docProps/custom.xml><?xml version="1.0" encoding="utf-8"?>
<Properties xmlns="http://schemas.openxmlformats.org/officeDocument/2006/custom-properties" xmlns:vt="http://schemas.openxmlformats.org/officeDocument/2006/docPropsVTypes"/>
</file>