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2476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color w:val="666666"/>
          <w:sz w:val="16"/>
          <w:szCs w:val="16"/>
        </w:rPr>
        <w:t xml:space="preserve">1145 Summit Ave., Mahtomedi, MN 55115</w:t>
      </w:r>
    </w:p>
    <w:p>
      <w:pPr>
        <w:spacing w:after="20"/>
        <w:jc w:val="center"/>
      </w:pPr>
      <w:r>
        <w:rPr>
          <w:color w:val="666666"/>
          <w:sz w:val="16"/>
          <w:szCs w:val="16"/>
        </w:rPr>
        <w:t xml:space="preserve">www.freedom-exteriors.com  •  License # BC-810020</w:t>
      </w:r>
    </w:p>
    <w:p>
      <w:pPr>
        <w:pBdr>
          <w:bottom w:val="single" w:color="F5B301" w:sz="16" w:space="1"/>
        </w:pBdr>
        <w:spacing w:after="200"/>
      </w:pP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b/>
                <w:bCs/>
                <w:color w:val="0E8A96"/>
                <w:sz w:val="30"/>
                <w:szCs w:val="30"/>
              </w:rPr>
              <w:t xml:space="preserve">ESTIMATE &amp; SCOPE OF WORK</w:t>
            </w:r>
          </w:p>
          <w:p>
            <w:pPr>
              <w:spacing w:after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Water Damage Repair, Deck Replacement &amp; Exterior Openings</w:t>
            </w:r>
          </w:p>
          <w:p>
            <w:r>
              <w:rPr>
                <w:b/>
                <w:bCs/>
                <w:color w:val="F5B301"/>
                <w:sz w:val="18"/>
                <w:szCs w:val="18"/>
              </w:rPr>
              <w:t xml:space="preserve">REVISED BID</w:t>
            </w:r>
          </w:p>
        </w:tc>
        <w:tc>
          <w:tcPr>
            <w:tcW w:type="dxa" w:w="5220"/>
            <w:vAlign w:val="top"/>
          </w:tcPr>
          <w:p>
            <w:pPr>
              <w:jc w:val="righ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Estimate #: </w:t>
            </w:r>
            <w:r>
              <w:rPr>
                <w:color w:val="222222"/>
                <w:sz w:val="18"/>
                <w:szCs w:val="18"/>
              </w:rPr>
              <w:t xml:space="preserve">1003</w:t>
            </w:r>
          </w:p>
          <w:p>
            <w:pPr>
              <w:jc w:val="righ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Date: </w:t>
            </w:r>
            <w:r>
              <w:rPr>
                <w:color w:val="222222"/>
                <w:sz w:val="18"/>
                <w:szCs w:val="18"/>
              </w:rPr>
              <w:t xml:space="preserve">August 31, 2026</w:t>
            </w:r>
          </w:p>
          <w:p>
            <w:pPr>
              <w:jc w:val="righ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Valid For: </w:t>
            </w:r>
            <w:r>
              <w:rPr>
                <w:color w:val="222222"/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150"/>
      </w:pP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20"/>
        <w:gridCol w:w="5220"/>
      </w:tblGrid>
      <w:tr>
        <w:tc>
          <w:tcPr>
            <w:tcW w:type="dxa" w:w="5220"/>
          </w:tcPr>
          <w:p>
            <w:pPr>
              <w:spacing w:after="60"/>
            </w:pPr>
            <w:r>
              <w:rPr>
                <w:b/>
                <w:bCs/>
                <w:color w:val="0E8A96"/>
                <w:sz w:val="16"/>
                <w:szCs w:val="16"/>
              </w:rPr>
              <w:t xml:space="preserve">PREPARED FOR</w:t>
            </w:r>
          </w:p>
          <w:p>
            <w:r>
              <w:rPr>
                <w:color w:val="222222"/>
                <w:sz w:val="18"/>
                <w:szCs w:val="18"/>
              </w:rPr>
              <w:t xml:space="preserve">Ilene Pearson</w:t>
            </w:r>
          </w:p>
          <w:p>
            <w:r>
              <w:rPr>
                <w:color w:val="222222"/>
                <w:sz w:val="18"/>
                <w:szCs w:val="18"/>
              </w:rPr>
              <w:t xml:space="preserve">2887 Bartelmy Ln</w:t>
            </w:r>
          </w:p>
          <w:p>
            <w:r>
              <w:rPr>
                <w:color w:val="222222"/>
                <w:sz w:val="18"/>
                <w:szCs w:val="18"/>
              </w:rPr>
              <w:t xml:space="preserve">Maplewood, MN 55109</w:t>
            </w:r>
          </w:p>
        </w:tc>
        <w:tc>
          <w:tcPr>
            <w:tcW w:type="dxa" w:w="5220"/>
          </w:tcPr>
          <w:p>
            <w:pPr>
              <w:spacing w:after="60"/>
            </w:pPr>
            <w:r>
              <w:rPr>
                <w:b/>
                <w:bCs/>
                <w:color w:val="0E8A96"/>
                <w:sz w:val="16"/>
                <w:szCs w:val="16"/>
              </w:rPr>
              <w:t xml:space="preserve">JOB SITE</w:t>
            </w:r>
          </w:p>
          <w:p>
            <w:r>
              <w:rPr>
                <w:color w:val="222222"/>
                <w:sz w:val="18"/>
                <w:szCs w:val="18"/>
              </w:rPr>
              <w:t xml:space="preserve">Same as above</w:t>
            </w:r>
          </w:p>
        </w:tc>
      </w:tr>
    </w:tbl>
    <w:p>
      <w:pPr>
        <w:pStyle w:val="Heading2"/>
        <w:spacing w:after="100" w:before="200"/>
      </w:pPr>
      <w:r>
        <w:t xml:space="preserve">SCOPE OF WORK</w:t>
      </w:r>
    </w:p>
    <w:p>
      <w:pPr>
        <w:spacing w:after="120"/>
      </w:pPr>
      <w:r>
        <w:rPr>
          <w:color w:val="222222"/>
          <w:sz w:val="18"/>
          <w:szCs w:val="18"/>
        </w:rPr>
        <w:t xml:space="preserve">Freedom Exteriors will remove and dispose of the existing rear elevated deck (approx. 10' x 16', with stairs); remove board &amp; batten siding as needed to expose and inspect the rear wall framing and header for water damage; furnish and install a new sliding patio door and a new slider window in the existing rough openings; repair interior popcorn ceiling and drywall damage near the affected window/wall; and construct a new pressure-treated rear deck with framing and stairs with railings. Any additional rotted or damaged framing discovered once the wall or deck is opened up will be addressed per the time &amp; materials allowance below, with client approval prior to proceeding.</w:t>
      </w:r>
    </w:p>
    <w:p>
      <w:pPr>
        <w:pStyle w:val="Heading2"/>
        <w:spacing w:after="100" w:before="100"/>
      </w:pPr>
      <w:r>
        <w:t xml:space="preserve">COST ESTIMATE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835"/>
        <w:gridCol w:w="1670"/>
        <w:gridCol w:w="1670"/>
        <w:gridCol w:w="1044"/>
      </w:tblGrid>
      <w:tr>
        <w:trPr>
          <w:tblHeader/>
        </w:trPr>
        <w:tc>
          <w:tcPr>
            <w:tcW w:type="dxa" w:w="5220"/>
            <w:shd w:fill="0E8A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35"/>
            <w:shd w:fill="0E8A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670"/>
            <w:shd w:fill="0E8A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670"/>
            <w:shd w:fill="0E8A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44"/>
            <w:shd w:fill="0E8A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Remove &amp; Reinstall Board &amp; Batten Siding (3 sq) — inspect rear wall framing, install new header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Remove siding to expose wall/header for inspection; re-install existing product if reusable, replace if damaged.</w:t>
            </w:r>
          </w:p>
        </w:tc>
        <w:tc>
          <w:tcPr>
            <w:tcW w:type="dxa" w:w="835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$950.00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$2,850.00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52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Sliding Patio Door — White on White (76"W x 81"H)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Remove &amp; dispose of existing unit; furnish &amp; install new insulated vinyl slider, flash and seal per manufacturer spec.</w:t>
            </w:r>
          </w:p>
        </w:tc>
        <w:tc>
          <w:tcPr>
            <w:tcW w:type="dxa" w:w="835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$3,500.00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$3,500.00</w:t>
            </w:r>
          </w:p>
        </w:tc>
        <w:tc>
          <w:tcPr>
            <w:tcW w:type="dxa" w:w="1044"/>
            <w:shd w:fill="F2F2F2" w:color="auto" w:val="clear"/>
          </w:tcPr>
          <w:p/>
        </w:tc>
      </w:tr>
      <w:tr>
        <w:tc>
          <w:tcPr>
            <w:tcW w:type="dxa" w:w="52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Slider Window — White on White (53"W x 36"H)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Remove &amp; dispose of existing unit; furnish &amp; install new insulated vinyl slider window, flash and seal.</w:t>
            </w:r>
          </w:p>
        </w:tc>
        <w:tc>
          <w:tcPr>
            <w:tcW w:type="dxa" w:w="835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$1,800.00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$1,800.00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52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Deck Removal &amp; Haul-Away (10' x 16', elevated w/ stairs)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Disconnect from ledger, demo deck surface, framing, stairs &amp; railings; haul debris off-site and dispose.</w:t>
            </w:r>
          </w:p>
        </w:tc>
        <w:tc>
          <w:tcPr>
            <w:tcW w:type="dxa" w:w="835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$2,500.00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$2,500.00</w:t>
            </w:r>
          </w:p>
        </w:tc>
        <w:tc>
          <w:tcPr>
            <w:tcW w:type="dxa" w:w="1044"/>
            <w:shd w:fill="F2F2F2" w:color="auto" w:val="clear"/>
          </w:tcPr>
          <w:p/>
        </w:tc>
      </w:tr>
      <w:tr>
        <w:tc>
          <w:tcPr>
            <w:tcW w:type="dxa" w:w="52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Interior Repairs — popcorn ceiling texture match &amp; drywall patch near window/wall opening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Cut out and replace damaged drywall, re-texture to match existing popcorn ceiling, prime and paint affected areas.</w:t>
            </w:r>
          </w:p>
        </w:tc>
        <w:tc>
          <w:tcPr>
            <w:tcW w:type="dxa" w:w="835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$900.00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$5,400.00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52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New Rear Deck Framing — 10' x 16', pressure-treated (materials &amp; labor, stairs priced separately)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Ledger, posts, beams, joists and decking, PT lumber, fasteners &amp; hardware; framed and installed to current code.</w:t>
            </w:r>
          </w:p>
        </w:tc>
        <w:tc>
          <w:tcPr>
            <w:tcW w:type="dxa" w:w="835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$4,500.00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$4,500.00</w:t>
            </w:r>
          </w:p>
        </w:tc>
        <w:tc>
          <w:tcPr>
            <w:tcW w:type="dxa" w:w="1044"/>
            <w:shd w:fill="F2F2F2" w:color="auto" w:val="clear"/>
          </w:tcPr>
          <w:p/>
        </w:tc>
      </w:tr>
      <w:tr>
        <w:tc>
          <w:tcPr>
            <w:tcW w:type="dxa" w:w="52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Rear Stairs with Railings (6–7 steps)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PT stringers, treads, and code-compliant railings/balusters.</w:t>
            </w:r>
          </w:p>
        </w:tc>
        <w:tc>
          <w:tcPr>
            <w:tcW w:type="dxa" w:w="835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$2,587.00</w:t>
            </w:r>
          </w:p>
        </w:tc>
        <w:tc>
          <w:tcPr>
            <w:tcW w:type="dxa" w:w="167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$2,587.00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52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Rotted / Unforeseen Substrate — allowance</w:t>
            </w:r>
          </w:p>
          <w:p>
            <w:pPr>
              <w:spacing w:before="40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T&amp;M if additional rot is found once wall/deck is opened up: labor $125/man-hr; std. dimensional lumber $8/ft; OSB/CDX sheet goods $175/sheet. Anything larger than 2x6 is non-standard and priced separately. Client notified &amp; approves before proceeding.</w:t>
            </w:r>
          </w:p>
        </w:tc>
        <w:tc>
          <w:tcPr>
            <w:tcW w:type="dxa" w:w="835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$0.00</w:t>
            </w:r>
          </w:p>
        </w:tc>
        <w:tc>
          <w:tcPr>
            <w:tcW w:type="dxa" w:w="1670"/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$0.00</w:t>
            </w:r>
          </w:p>
        </w:tc>
        <w:tc>
          <w:tcPr>
            <w:tcW w:type="dxa" w:w="1044"/>
            <w:shd w:fill="F2F2F2" w:color="auto" w:val="clear"/>
          </w:tcPr>
          <w:p/>
        </w:tc>
      </w:tr>
      <w:tr>
        <w:tc>
          <w:tcPr>
            <w:tcW w:type="dxa" w:w="6055"/>
            <w:gridSpan w:val="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70"/>
            <w:gridSpan w:val="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Subtotal (Labor &amp; Materials)</w:t>
            </w:r>
          </w:p>
        </w:tc>
        <w:tc>
          <w:tcPr>
            <w:tcW w:type="dxa" w:w="16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$23,137.00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6055"/>
            <w:gridSpan w:val="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70"/>
            <w:gridSpan w:val="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Overhead (10%)</w:t>
            </w:r>
          </w:p>
        </w:tc>
        <w:tc>
          <w:tcPr>
            <w:tcW w:type="dxa" w:w="16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$2,313.70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6055"/>
            <w:gridSpan w:val="2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70"/>
            <w:gridSpan w:val="1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Profit (10%)</w:t>
            </w:r>
          </w:p>
        </w:tc>
        <w:tc>
          <w:tcPr>
            <w:tcW w:type="dxa" w:w="167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$2,313.70</w:t>
            </w:r>
          </w:p>
        </w:tc>
        <w:tc>
          <w:tcPr>
            <w:tcW w:type="dxa" w:w="1044"/>
            <w:shd w:fill="FFFFFF" w:color="auto" w:val="clear"/>
          </w:tcPr>
          <w:p/>
        </w:tc>
      </w:tr>
      <w:tr>
        <w:tc>
          <w:tcPr>
            <w:tcW w:type="dxa" w:w="6055"/>
            <w:gridSpan w:val="2"/>
            <w:shd w:fill="22222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70"/>
            <w:gridSpan w:val="1"/>
            <w:shd w:fill="22222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 ESTIMATE</w:t>
            </w:r>
          </w:p>
        </w:tc>
        <w:tc>
          <w:tcPr>
            <w:tcW w:type="dxa" w:w="1670"/>
            <w:shd w:fill="22222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$27,764.40</w:t>
            </w:r>
          </w:p>
        </w:tc>
        <w:tc>
          <w:tcPr>
            <w:tcW w:type="dxa" w:w="1044"/>
            <w:shd w:fill="222222" w:color="auto" w:val="clear"/>
          </w:tcPr>
          <w:p/>
        </w:tc>
      </w:tr>
    </w:tbl>
    <w:p>
      <w:pPr>
        <w:pStyle w:val="Heading2"/>
        <w:spacing w:after="100" w:before="300"/>
      </w:pPr>
      <w:r>
        <w:t xml:space="preserve">PAYMENT TERMS</w:t>
      </w:r>
    </w:p>
    <w:p>
      <w:pPr>
        <w:spacing w:after="60"/>
      </w:pPr>
      <w:r>
        <w:rPr>
          <w:color w:val="222222"/>
          <w:sz w:val="18"/>
          <w:szCs w:val="18"/>
        </w:rPr>
        <w:t xml:space="preserve">• 50% deposit due upon signed acceptance to schedule materials and crew</w:t>
      </w:r>
    </w:p>
    <w:p>
      <w:pPr>
        <w:spacing w:after="60"/>
      </w:pPr>
      <w:r>
        <w:rPr>
          <w:color w:val="222222"/>
          <w:sz w:val="18"/>
          <w:szCs w:val="18"/>
        </w:rPr>
        <w:t xml:space="preserve">• 50% due upon completion</w:t>
      </w:r>
    </w:p>
    <w:p>
      <w:pPr>
        <w:spacing w:after="200"/>
      </w:pPr>
      <w:r>
        <w:rPr>
          <w:color w:val="222222"/>
          <w:sz w:val="18"/>
          <w:szCs w:val="18"/>
        </w:rPr>
        <w:t xml:space="preserve">This estimate is valid for 30 days from the date above. Pricing is based on visible conditions at time of estimate; unforeseen structural, rot, mold, or code-required work discovered once areas are opened will be billed per the T&amp;M allowance above and requires client sign-off before work proceeds. Permit fees, if required, are not included unless noted.</w:t>
      </w:r>
    </w:p>
    <w:p>
      <w:pPr>
        <w:pStyle w:val="Heading2"/>
        <w:spacing w:after="100" w:before="100"/>
      </w:pPr>
      <w:r>
        <w:t xml:space="preserve">ACCEPTANCE</w:t>
      </w:r>
    </w:p>
    <w:p>
      <w:pPr>
        <w:spacing w:after="100"/>
      </w:pPr>
      <w:r>
        <w:rPr>
          <w:color w:val="222222"/>
          <w:sz w:val="18"/>
          <w:szCs w:val="18"/>
        </w:rPr>
        <w:t xml:space="preserve">By signing below, both parties agree to the scope of work and pricing outlined above.</w:t>
      </w:r>
    </w:p>
    <w:tbl>
      <w:tblPr>
        <w:tblW w:type="dxa" w:w="104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0"/>
        <w:gridCol w:w="200"/>
        <w:gridCol w:w="5120"/>
      </w:tblGrid>
      <w:tr>
        <w:tc>
          <w:tcPr>
            <w:tcW w:type="dxa" w:w="5120"/>
          </w:tcPr>
          <w:p>
            <w:pPr>
              <w:pBdr>
                <w:bottom w:val="single" w:color="999999" w:sz="6" w:space="1"/>
              </w:pBdr>
              <w:spacing w:before="40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60"/>
            </w:pPr>
            <w:r>
              <w:rPr>
                <w:color w:val="666666"/>
                <w:sz w:val="16"/>
                <w:szCs w:val="16"/>
              </w:rPr>
              <w:t xml:space="preserve">Freedom Exteriors — Authorized Signature</w:t>
            </w:r>
          </w:p>
          <w:p>
            <w:pPr>
              <w:pBdr>
                <w:bottom w:val="single" w:color="999999" w:sz="6" w:space="1"/>
              </w:pBdr>
              <w:spacing w:before="20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60"/>
            </w:pPr>
            <w:r>
              <w:rPr>
                <w:color w:val="666666"/>
                <w:sz w:val="16"/>
                <w:szCs w:val="16"/>
              </w:rPr>
              <w:t xml:space="preserve">Date</w:t>
            </w:r>
          </w:p>
        </w:tc>
        <w:tc>
          <w:tcPr>
            <w:tcW w:type="dxa" w:w="200"/>
          </w:tcPr>
          <w:p/>
        </w:tc>
        <w:tc>
          <w:tcPr>
            <w:tcW w:type="dxa" w:w="5120"/>
          </w:tcPr>
          <w:p>
            <w:pPr>
              <w:pBdr>
                <w:bottom w:val="single" w:color="999999" w:sz="6" w:space="1"/>
              </w:pBdr>
              <w:spacing w:before="40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60"/>
            </w:pPr>
            <w:r>
              <w:rPr>
                <w:color w:val="666666"/>
                <w:sz w:val="16"/>
                <w:szCs w:val="16"/>
              </w:rPr>
              <w:t xml:space="preserve">Client — Acceptance Signature (Ilene Pearson)</w:t>
            </w:r>
          </w:p>
          <w:p>
            <w:pPr>
              <w:pBdr>
                <w:bottom w:val="single" w:color="999999" w:sz="6" w:space="1"/>
              </w:pBdr>
              <w:spacing w:before="20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60"/>
            </w:pPr>
            <w:r>
              <w:rPr>
                <w:color w:val="666666"/>
                <w:sz w:val="16"/>
                <w:szCs w:val="16"/>
              </w:rPr>
              <w:t xml:space="preserve">Date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7eca45caec08f55fff6dcefdd1cb5b6b410d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2026-08-31T14:49:42.163Z</dcterms:created>
  <dcterms:modified xsi:type="dcterms:W3CDTF">2026-08-31T14:49:42.164Z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