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</w:r>
    </w:p>
    <w:p>
      <w:pPr>
        <w:pStyle w:val="Heading1"/>
        <w:ind w:firstLine="0"/>
        <w:jc w:val="center"/>
      </w:pPr>
      <w:r>
        <w:rPr>
          <w:rFonts w:ascii="黑体" w:hAnsi="黑体" w:eastAsia="黑体"/>
          <w:color w:val="000000"/>
          <w:sz w:val="52"/>
        </w:rPr>
        <w:t>测试组2</w:t>
        <w:br/>
        <w:t>网站检测服务月报</w:t>
      </w:r>
    </w:p>
    <w:p>
      <w:r>
        <w:br/>
        <w:br/>
        <w:br/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6800"/>
            <w:vAlign w:val="center"/>
          </w:tcPr>
          <w:p/>
          <w:p>
            <w:pPr>
              <w:ind w:firstLine="0"/>
              <w:jc w:val="distribute"/>
            </w:pPr>
            <w:r>
              <w:rPr>
                <w:rFonts w:ascii="黑体" w:hAnsi="黑体" w:eastAsia="黑体"/>
                <w:b/>
                <w:sz w:val="24"/>
              </w:rPr>
              <w:t>freedom2599</w:t>
              <w:br/>
              <w:t>freedom2599</w:t>
            </w:r>
          </w:p>
        </w:tc>
      </w:tr>
    </w:tbl>
    <w:p>
      <w:pPr>
        <w:ind w:firstLine="0"/>
        <w:jc w:val="center"/>
      </w:pPr>
      <w:r>
        <w:br/>
        <w:t>2026-02-14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一、 综述信息</w:t>
      </w:r>
    </w:p>
    <w:p>
      <w:pPr>
        <w:pStyle w:val="Heading2"/>
      </w:pPr>
      <w:r>
        <w:rPr>
          <w:rFonts w:ascii="宋体" w:hAnsi="宋体" w:eastAsia="宋体"/>
        </w:rPr>
        <w:t>1. 监测概述</w:t>
      </w:r>
    </w:p>
    <w:p>
      <w:r>
        <w:t>为持续保障客户核心互联网资产的稳定运行、合规发布及信息安全，freedom2599（以下简称“我方”）针对性部署了多维度网站安全监测系统，构建“实时监测-智能告警-人工核查-快速处置”的全流程主动防御体系，实现7×24小时不间断监测覆盖，最大限度降低安全风险及业务中断损失。</w:t>
      </w:r>
    </w:p>
    <w:p>
      <w:r>
        <w:t>本周期内，监测系统围绕客户指定网站资产，聚焦核心安全及性能指标开展全方位监测，包括但不限于：</w:t>
      </w:r>
    </w:p>
    <w:p>
      <w:pPr>
        <w:pStyle w:val="ListBullet"/>
        <w:ind w:firstLine="480"/>
      </w:pPr>
      <w:r>
        <w:rPr>
          <w:b/>
        </w:rPr>
        <w:t>可用性监测：</w:t>
      </w:r>
      <w:r>
        <w:t>采用定时主动探测机制，按预设周期对目标站点发起标准化访问请求，全面校验服务连通性、响应状态、页面加载时效与跳转逻辑，精准识别无法访问、连接超时、异常跳转、服务中断等可用性风险，确保业务链路持续稳定可用；</w:t>
      </w:r>
    </w:p>
    <w:p>
      <w:pPr>
        <w:pStyle w:val="ListBullet"/>
        <w:ind w:firstLine="480"/>
      </w:pPr>
      <w:r>
        <w:rPr>
          <w:b/>
        </w:rPr>
        <w:t>内容合规监测：</w:t>
      </w:r>
      <w:r>
        <w:t>于实时内容巡检与智能识别能力，对页面文本、元素及关键信息进行全量扫描核验，自动排查违法违规内容、敏感信息、不当表述及不合规要素，实现风险内容早发现、早预警，保障平台内容安全与合规运营；</w:t>
      </w:r>
    </w:p>
    <w:p>
      <w:r>
        <w:t>监测过程中，系统一旦捕获上述异常指标，将立即触发分级告警机制，通过专属邮件通道实时推送至指定监测工程师。工程师在收到告警后30分钟内启动人工核查，结合业务场景开展风险研判，同步形成初步处置建议，协助客户快速响应、闭环处置，最大限度控制安全事件影响范围及损失。</w:t>
      </w:r>
    </w:p>
    <w:p>
      <w:pPr>
        <w:pStyle w:val="Heading2"/>
      </w:pPr>
      <w:r>
        <w:rPr>
          <w:rFonts w:ascii="宋体" w:hAnsi="宋体" w:eastAsia="宋体"/>
        </w:rPr>
        <w:t>2. 监测对象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系统名称</w:t>
            </w:r>
          </w:p>
        </w:tc>
        <w:tc>
          <w:tcPr>
            <w:tcW w:type="dxa" w:w="43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访问地址</w:t>
            </w:r>
          </w:p>
        </w:tc>
      </w:tr>
      <w:tr>
        <w:tc>
          <w:tcPr>
            <w:tcW w:type="dxa" w:w="43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www.baidu.com</w:t>
            </w:r>
          </w:p>
        </w:tc>
        <w:tc>
          <w:tcPr>
            <w:tcW w:type="dxa" w:w="43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https://www.baidu.com</w:t>
            </w:r>
          </w:p>
        </w:tc>
      </w:tr>
    </w:tbl>
    <w:p>
      <w:pPr>
        <w:ind w:firstLine="480"/>
      </w:pPr>
      <w:r>
        <w:rPr>
          <w:b/>
        </w:rPr>
        <w:t>注：</w:t>
      </w:r>
      <w:r>
        <w:t>本系统在实施监测过程中，受限于以下客观环境因素，可能导致部分监测覆盖度受到影响：</w:t>
      </w:r>
    </w:p>
    <w:p>
      <w:pPr>
        <w:pStyle w:val="ListBullet"/>
        <w:ind w:firstLine="480"/>
      </w:pPr>
      <w:r>
        <w:rPr>
          <w:b/>
        </w:rPr>
        <w:t>安全设备拦截限制：</w:t>
      </w:r>
      <w:r>
        <w:t>目标网站部署的防护机制（如WAF、防火墙等）可能将系统高频、深度的探测行为识别为恶意攻击，进而触发拦截机制，导致影响监测全面性；</w:t>
      </w:r>
    </w:p>
    <w:p>
      <w:pPr>
        <w:pStyle w:val="ListBullet"/>
        <w:ind w:firstLine="480"/>
      </w:pPr>
      <w:r>
        <w:rPr>
          <w:b/>
        </w:rPr>
        <w:t>认证页面访问受限：</w:t>
      </w:r>
      <w:r>
        <w:t>由于未配置登录凭证，系统无法进入需身份验证的后台或受保护区域，故对登录后的功能模块、动态内容及深层业务逻辑暂无法开展监测评估。</w:t>
      </w:r>
    </w:p>
    <w:p>
      <w:pPr>
        <w:pStyle w:val="Heading1"/>
      </w:pPr>
      <w:r>
        <w:rPr>
          <w:rFonts w:ascii="宋体" w:hAnsi="宋体" w:eastAsia="宋体"/>
        </w:rPr>
        <w:t>二、监测结果</w:t>
      </w:r>
    </w:p>
    <w:p>
      <w:pPr>
        <w:pStyle w:val="Heading2"/>
      </w:pPr>
      <w:r>
        <w:rPr>
          <w:rFonts w:ascii="宋体" w:hAnsi="宋体" w:eastAsia="宋体"/>
        </w:rPr>
        <w:t>1. 监控项目总览: 测试组2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统计维度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停机次数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平均停机时长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平均延迟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最大延迟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停机占比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日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周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月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2.1. 监控项: www.baidu.com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统计维度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停机次数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平均停机时长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平均延迟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最大延迟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停机占比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日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62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94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周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62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94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  <w:tr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月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62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94 ms</w:t>
            </w:r>
          </w:p>
        </w:tc>
        <w:tc>
          <w:tcPr>
            <w:tcW w:type="dxa" w:w="14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0.00%</w:t>
            </w:r>
          </w:p>
        </w:tc>
      </w:tr>
    </w:tbl>
    <w:p>
      <w:pPr>
        <w:pStyle w:val="Heading4"/>
      </w:pPr>
      <w:r>
        <w:rPr>
          <w:rFonts w:ascii="宋体" w:hAnsi="宋体" w:eastAsia="宋体"/>
        </w:rPr>
        <w:t>2.1.1. 关键词日志</w:t>
      </w:r>
    </w:p>
    <w:p>
      <w:r>
        <w:t>该时间段内无关键词事件</w:t>
      </w:r>
    </w:p>
    <w:p>
      <w:pPr>
        <w:pStyle w:val="Heading4"/>
      </w:pPr>
      <w:r>
        <w:rPr>
          <w:rFonts w:ascii="宋体" w:hAnsi="宋体" w:eastAsia="宋体"/>
        </w:rPr>
        <w:t>2.1.2. 停机事件日志（时间排序）</w:t>
      </w:r>
    </w:p>
    <w:p>
      <w:r>
        <w:t>该时间段内无停机事件</w:t>
      </w:r>
    </w:p>
    <w:p>
      <w:pPr>
        <w:pStyle w:val="Heading1"/>
      </w:pPr>
      <w:r>
        <w:rPr>
          <w:rFonts w:ascii="宋体" w:hAnsi="宋体" w:eastAsia="宋体"/>
        </w:rPr>
        <w:t>三、监控结果总结</w:t>
      </w:r>
    </w:p>
    <w:p>
      <w:r>
        <w:t>本次监控周期内，系统围绕目标站点的可用性、内容合规等核心维度，开展常态化、全覆盖、自动化监控工作，全面排查站点运行过程中的可用性风险与内容合规隐患，确保站点稳定、合规运营，现将监控结果、通用修复建议及下一步监测计划总结如下：</w:t>
      </w:r>
    </w:p>
    <w:p>
      <w:pPr>
        <w:pStyle w:val="Heading2"/>
      </w:pPr>
      <w:r>
        <w:rPr>
          <w:rFonts w:ascii="宋体" w:hAnsi="宋体" w:eastAsia="宋体"/>
        </w:rPr>
        <w:t>1. 监控结果概述</w:t>
      </w:r>
    </w:p>
    <w:p>
      <w:r>
        <w:t>本次监控覆盖站点全业务页面及核心访问链路，监测过程规范、数据精准，整体运行情况如下：</w:t>
      </w:r>
    </w:p>
    <w:p>
      <w:pPr>
        <w:pStyle w:val="ListBullet"/>
      </w:pPr>
      <w:r>
        <w:rPr>
          <w:b/>
        </w:rPr>
        <w:t>可用性监测：</w:t>
      </w:r>
      <w:r>
        <w:t>监控周期内，按预设固定周期发起标准化访问请求，全面核查站点连通性、响应时效、页面加载状态及跳转逻辑，重点排查无法访问、连接超时、异常跳转、服务中断等典型故障。经全面监测，站点整体访问稳定性良好，核心业务链路响应正常，未出现重大可用性故障；若存在零星轻微异常（如瞬时响应延迟），均已实时捕获并记录，不影响整体业务正常运行。</w:t>
      </w:r>
    </w:p>
    <w:p>
      <w:pPr>
        <w:pStyle w:val="ListBullet"/>
      </w:pPr>
      <w:r>
        <w:rPr>
          <w:b/>
        </w:rPr>
        <w:t>内容合规监测：</w:t>
      </w:r>
      <w:r>
        <w:t>通过实时巡检机制，对站点所有公开页面文本、核心展示元素、关键信息进行全量扫描核验，重点排查违法违规内容、敏感信息、不合规表述及潜在合规风险点。监测结果显示，站点页面内容整体合规，未发现明确违法违规、敏感及不合规表述，内容安全管控到位，符合平台运营合规要求。</w:t>
      </w:r>
    </w:p>
    <w:p>
      <w:r>
        <w:t>综上，本次监控周期内，站点整体运行状态良好，可用性与内容合规性均达到预期运营标准，未出现影响业务正常开展的重大风险隐患。</w:t>
      </w:r>
    </w:p>
    <w:p>
      <w:pPr>
        <w:pStyle w:val="Heading2"/>
      </w:pPr>
      <w:r>
        <w:rPr>
          <w:rFonts w:ascii="宋体" w:hAnsi="宋体" w:eastAsia="宋体"/>
        </w:rPr>
        <w:t>2. 修复优化建议</w:t>
      </w:r>
    </w:p>
    <w:p>
      <w:r>
        <w:t>结合本次监控情况，为进一步提升站点运行稳定性、内容合规性，防范潜在风险，提出以下通用性修复及优化建议，适配各类站点长期运营需求：</w:t>
      </w:r>
    </w:p>
    <w:p>
      <w:pPr>
        <w:pStyle w:val="ListBullet"/>
      </w:pPr>
      <w:r>
        <w:rPr>
          <w:b/>
        </w:rPr>
        <w:t>可用性优化建议：</w:t>
      </w:r>
    </w:p>
    <w:p>
      <w:pPr>
        <w:pStyle w:val="ListBullet2"/>
        <w:ind w:firstLine="480"/>
      </w:pPr>
      <w:r>
        <w:t>针对监控中捕获的瞬时响应延迟、偶尔加载卡顿等轻微异常，建议核查服务器负载、网络带宽及页面资源大小，优化页面加载速度，压缩冗余资源，减少响应耗时。</w:t>
      </w:r>
    </w:p>
    <w:p>
      <w:pPr>
        <w:pStyle w:val="ListBullet2"/>
        <w:ind w:firstLine="480"/>
      </w:pPr>
      <w:r>
        <w:t>建立可用性故障应急修复机制，提前储备常见故障（如无法访问、超时）的修复流程及操作手册，确保一旦出现故障，可快速响应、及时处置，降低故障影响范围。</w:t>
      </w:r>
    </w:p>
    <w:p>
      <w:pPr>
        <w:pStyle w:val="ListBullet2"/>
        <w:ind w:firstLine="480"/>
      </w:pPr>
      <w:r>
        <w:t>定期检查站点访问链路及服务器运行状态，排查潜在硬件、软件故障隐患，及时更新服务器系统及相关组件，保障服务运行环境稳定。</w:t>
      </w:r>
    </w:p>
    <w:p>
      <w:pPr>
        <w:pStyle w:val="ListBullet"/>
      </w:pPr>
      <w:r>
        <w:rPr>
          <w:b/>
        </w:rPr>
        <w:t>内容合规优化建议:</w:t>
      </w:r>
    </w:p>
    <w:p>
      <w:pPr>
        <w:pStyle w:val="ListBullet2"/>
        <w:ind w:firstLine="480"/>
      </w:pPr>
      <w:r>
        <w:t>建立内容定期自查机制，结合监控结果，定期对站点历史页面、归档内容进行复盘核查，防范遗漏风险，确保内容合规全覆盖，无死角。</w:t>
      </w:r>
    </w:p>
    <w:p>
      <w:pPr>
        <w:pStyle w:val="ListBullet2"/>
        <w:ind w:firstLine="480"/>
      </w:pPr>
      <w:r>
        <w:t>优化内容发布审核流程，在内容上线前增加合规校验环节，明确审核标准，防范违规内容、敏感信息误上线，从源头保障内容合规。</w:t>
      </w:r>
    </w:p>
    <w:p>
      <w:pPr>
        <w:pStyle w:val="ListBullet2"/>
        <w:ind w:firstLine="480"/>
      </w:pPr>
      <w:r>
        <w:t>及时关注最新合规政策及监管要求，更新内容合规识别标准，同步优化监控系统的合规识别规则，确保监控内容与监管要求保持一致。</w:t>
      </w:r>
    </w:p>
    <w:p>
      <w:pPr>
        <w:pStyle w:val="ListBullet"/>
      </w:pPr>
      <w:r>
        <w:rPr>
          <w:b/>
        </w:rPr>
        <w:t>保障建议：</w:t>
      </w:r>
    </w:p>
    <w:p>
      <w:pPr>
        <w:pStyle w:val="ListBullet2"/>
        <w:ind w:firstLine="480"/>
      </w:pPr>
      <w:r>
        <w:t>定期备份站点数据及配置信息，防范数据丢失、配置错乱等问题，确保故障后可快速恢复，降低运营风险。</w:t>
      </w:r>
    </w:p>
    <w:p>
      <w:pPr>
        <w:pStyle w:val="ListBullet2"/>
        <w:ind w:firstLine="480"/>
      </w:pPr>
      <w:r>
        <w:t>安排专人负责监控结果复盘，定期汇总监控数据，分析异常规律，针对性优化监控策略及站点运营管理方案。</w:t>
      </w:r>
    </w:p>
    <w:p>
      <w:pPr>
        <w:pStyle w:val="Heading2"/>
      </w:pPr>
      <w:r>
        <w:rPr>
          <w:rFonts w:ascii="宋体" w:hAnsi="宋体" w:eastAsia="宋体"/>
        </w:rPr>
        <w:t>3. 下一步监测计划</w:t>
      </w:r>
    </w:p>
    <w:p>
      <w:r>
        <w:t>为持续保障站点稳定、合规运营，实现风险早发现、早预警、早处置，下一步将延续常态化监控模式，结合本次监控结果及优化建议，完善监控策略，具体计划如下：</w:t>
      </w:r>
    </w:p>
    <w:p>
      <w:pPr>
        <w:pStyle w:val="ListBullet"/>
      </w:pPr>
      <w:r>
        <w:rPr>
          <w:b/>
        </w:rPr>
        <w:t>1. 优化监控策略，提升监测精准度：</w:t>
      </w:r>
      <w:r>
        <w:t>结合本次监控中的轻微异常及优化建议，调整可用性监测的探测周期（重点时段可适当缩短探测间隔），优化内容合规监测的识别规则，增加高频风险点的扫描频次，提升监控的针对性和精准度，减少误报、漏报情况。</w:t>
      </w:r>
    </w:p>
    <w:p>
      <w:pPr>
        <w:pStyle w:val="ListBullet"/>
      </w:pPr>
      <w:r>
        <w:rPr>
          <w:b/>
        </w:rPr>
        <w:t>2. 延续核心监测维度，扩大监测覆盖范围：</w:t>
      </w:r>
      <w:r>
        <w:t>持续围绕可用性、内容合规两大核心维度开展监测，同时逐步扩大监测覆盖范围，新增对站点附属页面、关联链路的监测，全面覆盖各类潜在风险点，确保站点全链路、全页面的稳定与合规。</w:t>
      </w:r>
    </w:p>
    <w:p>
      <w:r>
        <w:rPr>
          <w:b/>
        </w:rPr>
        <w:t>3. 强化监控数据管理与复盘：</w:t>
      </w:r>
      <w:r>
        <w:t>建立完善的监控数据归档机制，定期汇总监测数据、异常记录及修复情况，每月开展一次监控结果复盘，分析站点运行趋势，排查潜在风险隐患，针对性调整优化建议及监控策略。</w:t>
      </w:r>
    </w:p>
    <w:p>
      <w:r>
        <w:rPr>
          <w:b/>
        </w:rPr>
        <w:t>4. 完善预警与处置机制：</w:t>
      </w:r>
      <w:r>
        <w:t>优化监控预警规则，明确不同等级异常的预警方式及处置时限，确保异常情况可及时推送至相关负责人；同步完善故障处置跟踪机制，对出现的异常及修复情况进行全程记录，确保问题闭环解决。</w:t>
      </w:r>
    </w:p>
    <w:p>
      <w:r>
        <w:rPr>
          <w:b/>
        </w:rPr>
        <w:t>5. 配合优化落地，跟踪优化效果：</w:t>
      </w:r>
      <w:r>
        <w:t>针对本次提出的修复及优化建议，跟踪优化落地情况，在后续监控过程中重点核查优化效果，确认可用性、内容合规性是否得到进一步提升，及时调整优化方向及监控重点。</w:t>
      </w:r>
    </w:p>
    <w:p>
      <w:r>
        <w:t>下一步，将持续强化监控工作，细化监控流程，完善保障机制，全力支撑站点持续、稳定、合规运营，防范各类可用性及内容合规风险，为业务正常开展提供坚实保障。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tabs>
        <w:tab w:pos="8640" w:val="right"/>
      </w:tabs>
      <w:spacing w:line="0" w:lineRule="exact"/>
      <w:ind w:firstLine="0"/>
    </w:pPr>
    <w:r>
      <w:drawing>
        <wp:inline xmlns:a="http://schemas.openxmlformats.org/drawingml/2006/main" xmlns:pic="http://schemas.openxmlformats.org/drawingml/2006/picture">
          <wp:extent cx="914400" cy="4833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483326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宋体" w:hAnsi="宋体" w:eastAsia="宋体"/>
        <w:b/>
        <w:sz w:val="28"/>
      </w:rPr>
      <w:t>网站监测服务报告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 w:val="0"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