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개발 용역 계약서 (갱신)</w:t>
      </w:r>
    </w:p>
    <w:p>
      <w:r>
        <w:t>본 계약은 기존 계약을 기반으로 일부 조항을 변경하여 체결한다.</w:t>
      </w:r>
    </w:p>
    <w:p>
      <w:pPr>
        <w:pStyle w:val="Heading1"/>
      </w:pPr>
      <w:r>
        <w:t>1. 계약 기간</w:t>
      </w:r>
    </w:p>
    <w:p>
      <w:r>
        <w:t>2026년 4월 1일부터 4개월간</w:t>
      </w:r>
    </w:p>
    <w:p>
      <w:pPr>
        <w:pStyle w:val="Heading1"/>
      </w:pPr>
      <w:r>
        <w:t>2. 개발 범위</w:t>
      </w:r>
    </w:p>
    <w:p>
      <w:r>
        <w:t>- Phase 2: 네트워크 상태를 이해하는 AI</w:t>
        <w:br/>
        <w:t>- Phase 3: 정책을 제안하는 AI</w:t>
        <w:br/>
        <w:t>- 사용자 요구 기반 UI 구축</w:t>
      </w:r>
    </w:p>
    <w:p>
      <w:pPr>
        <w:pStyle w:val="Heading1"/>
      </w:pPr>
      <w:r>
        <w:t>3. 주요 개발 요소</w:t>
      </w:r>
    </w:p>
    <w:p>
      <w:r>
        <w:t>- Multi Agent 기반 네트워크 관리 플랫폼 구축</w:t>
        <w:br/>
        <w:t>- 다양한 시나리오 및 일관성 운영 시스템</w:t>
        <w:br/>
        <w:t>- 네트워크 상태 모니터링 및 이상 감지</w:t>
        <w:br/>
        <w:t>- 상태 기반 정보 제공</w:t>
        <w:br/>
        <w:t>- 운영 자동화 및 최적화</w:t>
      </w:r>
    </w:p>
    <w:p>
      <w:pPr>
        <w:pStyle w:val="Heading1"/>
      </w:pPr>
      <w:r>
        <w:t>4. 용역 대금</w:t>
      </w:r>
    </w:p>
    <w:p>
      <w:r>
        <w:t>총 250,000,000원</w:t>
        <w:br/>
        <w:t>- 선금: 100,000,000원</w:t>
        <w:br/>
        <w:t>- 중도금: 80,000,000원</w:t>
        <w:br/>
        <w:t>- 잔금: 70,000,000원</w:t>
      </w:r>
    </w:p>
    <w:p>
      <w:pPr>
        <w:pStyle w:val="Heading1"/>
      </w:pPr>
      <w:r>
        <w:t>5. 결과물</w:t>
      </w:r>
    </w:p>
    <w:p>
      <w:r>
        <w:t>- 개발 소프트웨어</w:t>
        <w:br/>
        <w:t>- 운영 매뉴얼</w:t>
        <w:br/>
        <w:t>- AI 학습 서버</w:t>
        <w:br/>
        <w:t>- AI BOX</w:t>
      </w:r>
    </w:p>
    <w:p>
      <w:pPr>
        <w:pStyle w:val="Heading1"/>
      </w:pPr>
      <w:r>
        <w:t>별첨 1. Agentic AI 구조</w:t>
      </w:r>
    </w:p>
    <w:p>
      <w:r>
        <w:t>아래 구조를 따른다.</w:t>
      </w:r>
    </w:p>
    <w:p>
      <w:r>
        <w:t>세부 블럭 구현은 갑과 을의 협의에 따른다.</w:t>
      </w:r>
    </w:p>
    <w:p>
      <w:r>
        <w:drawing>
          <wp:inline xmlns:a="http://schemas.openxmlformats.org/drawingml/2006/main" xmlns:pic="http://schemas.openxmlformats.org/drawingml/2006/picture">
            <wp:extent cx="4572000" cy="2326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Photo_2026-03-18-16-33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별첨 2. UI</w:t>
      </w:r>
    </w:p>
    <w:p>
      <w:r>
        <w:t>사용자 메인/보조 화면은 갑이 설계하고 을이 구현하며, 세부 사항은 협의한다.</w:t>
      </w:r>
    </w:p>
    <w:p>
      <w:r>
        <w:br/>
        <w:t>기타 조항은 기존 계약과 동일하며, 일부 조항 번호는 재정렬한다.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