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tabs>
          <w:tab w:val="left" w:pos="986" w:leader="none"/>
          <w:tab w:val="center" w:pos="5197" w:leader="none"/>
        </w:tabs>
        <w:rPr>
          <w:b/>
          <w:bCs/>
        </w:rPr>
        <w:outlineLvl w:val="0"/>
      </w:pPr>
      <w:r>
        <w:rPr>
          <w:b/>
          <w:bCs/>
        </w:rPr>
        <w:t xml:space="preserve">ПРОТОКОЛ </w:t>
      </w:r>
      <w:r>
        <w:rPr>
          <w:b/>
          <w:bCs/>
        </w:rPr>
        <w:t xml:space="preserve">№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2/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3663293</w:t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</w:rPr>
      </w:pPr>
      <w:r>
        <w:rPr>
          <w:b/>
          <w:bCs/>
        </w:rPr>
        <w:t xml:space="preserve">заочного заседания Закупочной комиссии по подведению итогов </w:t>
      </w:r>
      <w:r>
        <w:rPr>
          <w:b/>
        </w:rPr>
        <w:t xml:space="preserve">запроса котировок в электронной форме, </w:t>
      </w:r>
      <w:r>
        <w:rPr>
          <w:b/>
          <w:bCs/>
        </w:rPr>
        <w:t xml:space="preserve">участниками которого могут быть только субъекты малого и среднего предпринимательства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</w:rPr>
        <w:t xml:space="preserve">на право заключения договора на </w:t>
      </w:r>
      <w:r>
        <w:rPr>
          <w:b/>
        </w:rPr>
        <w:t xml:space="preserve">оказание услуг по доставке персонала на ПС 500 кВ Преображенская для нужд филиала ПАО «Россети» - Оренбургское ПМЭС</w:t>
      </w:r>
      <w:r>
        <w:rPr>
          <w:b/>
        </w:rPr>
      </w:r>
      <w:r>
        <w:rPr>
          <w:b/>
        </w:rPr>
      </w:r>
    </w:p>
    <w:p>
      <w:pPr>
        <w:jc w:val="center"/>
        <w:rPr>
          <w:b/>
          <w:bCs/>
          <w:iCs/>
        </w:rPr>
      </w:pPr>
      <w:r>
        <w:rPr>
          <w:b/>
          <w:bCs/>
          <w:iCs/>
        </w:rPr>
      </w:r>
      <w:r>
        <w:rPr>
          <w:b/>
          <w:bCs/>
          <w:iCs/>
        </w:rPr>
      </w:r>
      <w:r>
        <w:rPr>
          <w:b/>
          <w:bCs/>
          <w:iCs/>
        </w:rPr>
      </w:r>
    </w:p>
    <w:tbl>
      <w:tblPr>
        <w:tblW w:w="10547" w:type="dxa"/>
        <w:tblInd w:w="51" w:type="dxa"/>
        <w:tblLook w:val="0000" w:firstRow="0" w:lastRow="0" w:firstColumn="0" w:lastColumn="0" w:noHBand="0" w:noVBand="0"/>
      </w:tblPr>
      <w:tblGrid>
        <w:gridCol w:w="5036"/>
        <w:gridCol w:w="5511"/>
      </w:tblGrid>
      <w:tr>
        <w:tblPrEx/>
        <w:trPr>
          <w:trHeight w:val="331"/>
        </w:trPr>
        <w:tc>
          <w:tcPr>
            <w:tcW w:w="5036" w:type="dxa"/>
            <w:textDirection w:val="lrTb"/>
            <w:noWrap w:val="false"/>
          </w:tcPr>
          <w:p>
            <w:pPr>
              <w:pStyle w:val="1029"/>
              <w:ind w:firstLine="180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г. Самара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511" w:type="dxa"/>
            <w:textDirection w:val="lrTb"/>
            <w:noWrap w:val="false"/>
          </w:tcPr>
          <w:p>
            <w:pPr>
              <w:ind w:right="63" w:firstLine="180"/>
              <w:jc w:val="right"/>
              <w:spacing w:line="276" w:lineRule="auto"/>
            </w:pPr>
            <w:r>
              <w:t xml:space="preserve">13.11</w:t>
            </w:r>
            <w:r>
              <w:t xml:space="preserve">.2025</w:t>
            </w:r>
            <w:r/>
          </w:p>
        </w:tc>
      </w:tr>
    </w:tbl>
    <w:p>
      <w:pPr>
        <w:pStyle w:val="1038"/>
        <w:ind w:left="0"/>
        <w:tabs>
          <w:tab w:val="left" w:pos="570" w:leader="none"/>
        </w:tabs>
        <w:rPr>
          <w:b/>
          <w:szCs w:val="24"/>
          <w:lang w:val="ru-RU"/>
        </w:rPr>
      </w:pP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</w:p>
    <w:p>
      <w:pPr>
        <w:pStyle w:val="1038"/>
        <w:numPr>
          <w:ilvl w:val="0"/>
          <w:numId w:val="1"/>
        </w:numPr>
        <w:ind w:left="0" w:firstLine="426"/>
        <w:spacing w:line="276" w:lineRule="auto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Повестка дня:</w:t>
      </w:r>
      <w:r>
        <w:rPr>
          <w:b/>
          <w:szCs w:val="24"/>
        </w:rPr>
      </w:r>
      <w:r>
        <w:rPr>
          <w:b/>
          <w:szCs w:val="24"/>
        </w:rPr>
      </w:r>
    </w:p>
    <w:p>
      <w:pPr>
        <w:numPr>
          <w:ilvl w:val="0"/>
          <w:numId w:val="2"/>
        </w:numPr>
        <w:ind w:left="142" w:firstLine="68"/>
        <w:jc w:val="both"/>
        <w:rPr>
          <w:b/>
          <w:color w:val="000000"/>
        </w:rPr>
      </w:pPr>
      <w:r>
        <w:t xml:space="preserve">О признании </w:t>
      </w:r>
      <w:r>
        <w:t xml:space="preserve">запроса котировок в электронной форме, </w:t>
      </w:r>
      <w:r>
        <w:rPr>
          <w:bCs/>
        </w:rPr>
        <w:t xml:space="preserve">участниками которого могут быть только субъекты малого и среднего предпринимательства</w:t>
      </w:r>
      <w:r>
        <w:rPr>
          <w:bCs/>
        </w:rPr>
        <w:t xml:space="preserve">,</w:t>
      </w:r>
      <w:r>
        <w:rPr>
          <w:bCs/>
        </w:rPr>
        <w:t xml:space="preserve"> </w:t>
      </w:r>
      <w:r>
        <w:t xml:space="preserve">на</w:t>
      </w:r>
      <w:r>
        <w:t xml:space="preserve"> право заключения договора на </w:t>
      </w:r>
      <w:r>
        <w:t xml:space="preserve">оказание услуг по доставке персонала на ПС 500 кВ Преображенская для нужд филиала ПАО «Россети» - Оренбургское ПМЭС несостоявшимся</w:t>
      </w:r>
      <w:r>
        <w:t xml:space="preserve">.</w:t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ind w:left="142" w:right="-45"/>
        <w:jc w:val="both"/>
        <w:spacing w:line="276" w:lineRule="auto"/>
        <w:tabs>
          <w:tab w:val="left" w:pos="284" w:leader="none"/>
        </w:tabs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ind w:left="210" w:right="-45"/>
        <w:jc w:val="both"/>
        <w:spacing w:line="276" w:lineRule="auto"/>
        <w:tabs>
          <w:tab w:val="left" w:pos="284" w:leader="none"/>
        </w:tabs>
      </w:pPr>
      <w:r/>
      <w:r/>
    </w:p>
    <w:p>
      <w:pPr>
        <w:pStyle w:val="1038"/>
        <w:numPr>
          <w:ilvl w:val="0"/>
          <w:numId w:val="1"/>
        </w:numPr>
        <w:ind w:left="0" w:firstLine="426"/>
        <w:spacing w:line="276" w:lineRule="auto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  </w:t>
      </w:r>
      <w:r>
        <w:rPr>
          <w:b/>
          <w:szCs w:val="24"/>
          <w:lang w:val="ru-RU"/>
        </w:rPr>
        <w:t xml:space="preserve">Общая информация о закупке</w:t>
      </w:r>
      <w:r>
        <w:rPr>
          <w:b/>
          <w:szCs w:val="24"/>
        </w:rPr>
        <w:t xml:space="preserve">.</w:t>
      </w:r>
      <w:r>
        <w:rPr>
          <w:b/>
          <w:szCs w:val="24"/>
        </w:rPr>
      </w:r>
      <w:r>
        <w:rPr>
          <w:b/>
          <w:szCs w:val="24"/>
        </w:rPr>
      </w:r>
    </w:p>
    <w:p>
      <w:pPr>
        <w:pStyle w:val="1038"/>
        <w:numPr>
          <w:ilvl w:val="0"/>
          <w:numId w:val="4"/>
        </w:numPr>
        <w:ind w:left="0" w:firstLine="426"/>
        <w:tabs>
          <w:tab w:val="left" w:pos="142" w:leader="none"/>
        </w:tabs>
        <w:rPr>
          <w:szCs w:val="24"/>
          <w:lang w:val="ru-RU"/>
        </w:rPr>
      </w:pPr>
      <w:r>
        <w:t xml:space="preserve">Основание проведения </w:t>
      </w:r>
      <w:r>
        <w:t xml:space="preserve">запроса котировок в электронной форме, </w:t>
      </w:r>
      <w:r>
        <w:rPr>
          <w:bCs/>
        </w:rPr>
        <w:t xml:space="preserve">участниками которого могут быть только субъекты малого и среднего </w:t>
      </w:r>
      <w:r>
        <w:rPr>
          <w:bCs/>
        </w:rPr>
        <w:t xml:space="preserve">предпринимательства</w:t>
      </w:r>
      <w:r>
        <w:rPr>
          <w:szCs w:val="24"/>
          <w:lang w:val="ru-RU"/>
        </w:rPr>
        <w:t xml:space="preserve">:</w:t>
      </w:r>
      <w:r>
        <w:rPr>
          <w:szCs w:val="24"/>
          <w:lang w:val="ru-RU"/>
        </w:rPr>
      </w:r>
      <w:r>
        <w:rPr>
          <w:szCs w:val="24"/>
          <w:lang w:val="ru-RU"/>
        </w:rPr>
      </w:r>
    </w:p>
    <w:p>
      <w:pPr>
        <w:pStyle w:val="1036"/>
        <w:ind w:firstLine="284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</w:t>
      </w:r>
      <w:r>
        <w:rPr>
          <w:sz w:val="24"/>
          <w:szCs w:val="24"/>
        </w:rPr>
        <w:t xml:space="preserve">Согласно Приказу филиала ПАО «</w:t>
      </w:r>
      <w:r>
        <w:rPr>
          <w:sz w:val="24"/>
          <w:szCs w:val="24"/>
          <w:lang w:val="ru-RU"/>
        </w:rPr>
        <w:t xml:space="preserve">Россети</w:t>
      </w:r>
      <w:r>
        <w:rPr>
          <w:sz w:val="24"/>
          <w:szCs w:val="24"/>
        </w:rPr>
        <w:t xml:space="preserve">» - МЭС Волги </w:t>
      </w:r>
      <w:r>
        <w:rPr>
          <w:sz w:val="24"/>
          <w:szCs w:val="24"/>
        </w:rPr>
        <w:t xml:space="preserve">от 29</w:t>
      </w:r>
      <w:r>
        <w:rPr>
          <w:sz w:val="24"/>
          <w:szCs w:val="24"/>
          <w:lang w:val="ru-RU"/>
        </w:rPr>
        <w:t xml:space="preserve">.10</w:t>
      </w:r>
      <w:r>
        <w:rPr>
          <w:sz w:val="24"/>
          <w:szCs w:val="24"/>
          <w:lang w:val="ru-RU"/>
        </w:rPr>
        <w:t xml:space="preserve">.2025</w:t>
      </w:r>
      <w:r>
        <w:rPr>
          <w:sz w:val="24"/>
          <w:szCs w:val="24"/>
        </w:rPr>
        <w:t xml:space="preserve"> № 910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jc w:val="both"/>
        <w:outlineLvl w:val="0"/>
      </w:pPr>
      <w:r>
        <w:t xml:space="preserve">       Извещение (является одновременно документацией</w:t>
      </w:r>
      <w:r>
        <w:t xml:space="preserve">) (далее –</w:t>
      </w:r>
      <w:r>
        <w:t xml:space="preserve"> </w:t>
      </w:r>
      <w:r>
        <w:t xml:space="preserve">документация) от 01</w:t>
      </w:r>
      <w:r>
        <w:t xml:space="preserve">.11</w:t>
      </w:r>
      <w:r>
        <w:t xml:space="preserve">.2025</w:t>
      </w:r>
      <w:r>
        <w:t xml:space="preserve"> </w:t>
      </w:r>
      <w:r>
        <w:t xml:space="preserve">        </w:t>
      </w:r>
      <w:r>
        <w:t xml:space="preserve">№</w:t>
      </w:r>
      <w:r>
        <w:t xml:space="preserve"> </w:t>
      </w:r>
      <w:r>
        <w:t xml:space="preserve">3663293</w:t>
      </w:r>
      <w:r>
        <w:t xml:space="preserve"> </w:t>
      </w:r>
      <w:r>
        <w:t xml:space="preserve">о проведении запроса котировок в электронной форме, </w:t>
      </w:r>
      <w:r>
        <w:rPr>
          <w:bCs/>
        </w:rPr>
        <w:t xml:space="preserve">участниками которого могут быть только субъекты малого и среднего предпринимательства</w:t>
      </w:r>
      <w:r>
        <w:rPr>
          <w:bCs/>
        </w:rPr>
        <w:t xml:space="preserve">,</w:t>
      </w:r>
      <w:r>
        <w:t xml:space="preserve"> опубликовано 01</w:t>
      </w:r>
      <w:r>
        <w:t xml:space="preserve">.11</w:t>
      </w:r>
      <w:r>
        <w:t xml:space="preserve">.2025</w:t>
      </w:r>
      <w:r>
        <w:t xml:space="preserve"> на официальном сайте ПАО «</w:t>
      </w:r>
      <w:r>
        <w:t xml:space="preserve">Россети</w:t>
      </w:r>
      <w:r>
        <w:t xml:space="preserve">» (www.fsk-ees.ru), на сайте ЭТП «РТС-Тендер» (</w:t>
      </w:r>
      <w:hyperlink r:id="rId15" w:tooltip="http://www.rts-tender.ru" w:history="1">
        <w:r>
          <w:rPr>
            <w:rStyle w:val="1035"/>
            <w:iCs/>
          </w:rPr>
          <w:t xml:space="preserve">www.</w:t>
        </w:r>
        <w:r>
          <w:rPr>
            <w:rStyle w:val="1035"/>
            <w:iCs/>
            <w:lang w:val="en-US"/>
          </w:rPr>
          <w:t xml:space="preserve">rts</w:t>
        </w:r>
        <w:r>
          <w:rPr>
            <w:rStyle w:val="1035"/>
            <w:iCs/>
          </w:rPr>
          <w:t xml:space="preserve">-</w:t>
        </w:r>
        <w:r>
          <w:rPr>
            <w:rStyle w:val="1035"/>
            <w:iCs/>
            <w:lang w:val="en-US"/>
          </w:rPr>
          <w:t xml:space="preserve">tender</w:t>
        </w:r>
        <w:r>
          <w:rPr>
            <w:rStyle w:val="1035"/>
            <w:iCs/>
          </w:rPr>
          <w:t xml:space="preserve">.ru</w:t>
        </w:r>
      </w:hyperlink>
      <w:r>
        <w:t xml:space="preserve">), а так же на официальном сайте </w:t>
      </w:r>
      <w:hyperlink r:id="rId16" w:tooltip="http://www.zakupki.gov.ru" w:history="1">
        <w:r>
          <w:rPr>
            <w:rStyle w:val="1035"/>
          </w:rPr>
          <w:t xml:space="preserve">www.zakupki.gov.ru</w:t>
        </w:r>
      </w:hyperlink>
      <w:r>
        <w:t xml:space="preserve"> (закупка №</w:t>
      </w:r>
      <w:r>
        <w:t xml:space="preserve"> </w:t>
      </w:r>
      <w:r>
        <w:t xml:space="preserve">32515366569</w:t>
      </w:r>
      <w:r>
        <w:t xml:space="preserve">).</w:t>
      </w:r>
      <w:r/>
    </w:p>
    <w:p>
      <w:pPr>
        <w:ind w:right="-427"/>
        <w:outlineLvl w:val="0"/>
      </w:pPr>
      <w:r/>
      <w:r/>
    </w:p>
    <w:p>
      <w:pPr>
        <w:pStyle w:val="1047"/>
        <w:numPr>
          <w:ilvl w:val="0"/>
          <w:numId w:val="4"/>
        </w:numPr>
        <w:contextualSpacing/>
        <w:jc w:val="both"/>
        <w:widowControl w:val="off"/>
      </w:pPr>
      <w:r>
        <w:t xml:space="preserve">Номер лота</w:t>
      </w:r>
      <w:r>
        <w:t xml:space="preserve">: </w:t>
      </w:r>
      <w:r>
        <w:rPr>
          <w:lang w:eastAsia="zh-CN" w:bidi="hi-IN"/>
        </w:rPr>
        <w:t xml:space="preserve">1</w:t>
      </w:r>
      <w:r/>
    </w:p>
    <w:p>
      <w:pPr>
        <w:pStyle w:val="1047"/>
      </w:pPr>
      <w:r/>
      <w:r/>
    </w:p>
    <w:p>
      <w:pPr>
        <w:pStyle w:val="1047"/>
        <w:numPr>
          <w:ilvl w:val="0"/>
          <w:numId w:val="4"/>
        </w:numPr>
        <w:contextualSpacing/>
        <w:ind w:left="0" w:firstLine="360"/>
        <w:jc w:val="both"/>
        <w:widowControl w:val="off"/>
      </w:pPr>
      <w:r>
        <w:t xml:space="preserve">Способ и предмет закупки: </w:t>
      </w:r>
      <w:r>
        <w:t xml:space="preserve">запрос </w:t>
      </w:r>
      <w:r>
        <w:t xml:space="preserve">котировок в электронной форме, </w:t>
      </w:r>
      <w:r>
        <w:rPr>
          <w:bCs/>
        </w:rPr>
        <w:t xml:space="preserve">участниками которого могут быть только субъекты малого и среднего предпринимательства</w:t>
      </w:r>
      <w:r>
        <w:rPr>
          <w:bCs/>
        </w:rPr>
        <w:t xml:space="preserve">,</w:t>
      </w:r>
      <w:r>
        <w:rPr>
          <w:bCs/>
        </w:rPr>
        <w:t xml:space="preserve"> </w:t>
      </w:r>
      <w:r>
        <w:t xml:space="preserve">на </w:t>
      </w:r>
      <w:r>
        <w:t xml:space="preserve">право заключения договора </w:t>
      </w:r>
      <w:r>
        <w:t xml:space="preserve">на </w:t>
      </w:r>
      <w:r>
        <w:t xml:space="preserve">оказание услуг по доставке персонала на ПС 500 кВ Преображенская для нужд филиала ПАО «Россети» - Оренбургское ПМЭС</w:t>
      </w:r>
      <w:r>
        <w:t xml:space="preserve"> </w:t>
      </w:r>
      <w:r>
        <w:rPr>
          <w:bCs/>
        </w:rPr>
        <w:t xml:space="preserve">(</w:t>
      </w:r>
      <w:r>
        <w:rPr>
          <w:spacing w:val="-2"/>
        </w:rPr>
        <w:t xml:space="preserve">далее – запрос котировок, закупка</w:t>
      </w:r>
      <w:r>
        <w:rPr>
          <w:bCs/>
        </w:rPr>
        <w:t xml:space="preserve">). </w:t>
      </w:r>
      <w:r/>
    </w:p>
    <w:p>
      <w:pPr>
        <w:pStyle w:val="1047"/>
      </w:pPr>
      <w:r/>
      <w:r/>
    </w:p>
    <w:p>
      <w:pPr>
        <w:pStyle w:val="1047"/>
        <w:numPr>
          <w:ilvl w:val="0"/>
          <w:numId w:val="4"/>
        </w:numPr>
        <w:contextualSpacing/>
        <w:jc w:val="both"/>
      </w:pPr>
      <w:r>
        <w:rPr>
          <w:lang w:eastAsia="zh-CN" w:bidi="hi-IN"/>
        </w:rPr>
        <w:t xml:space="preserve">Сведения</w:t>
      </w:r>
      <w:r>
        <w:rPr>
          <w:rFonts w:ascii="Times New Roman CYR" w:hAnsi="Times New Roman CYR" w:cs="Times New Roman CYR"/>
        </w:rPr>
        <w:t xml:space="preserve"> о сроке исполнения договора: </w:t>
      </w:r>
      <w:r>
        <w:t xml:space="preserve">в соответствии с разделом «Техническое задание»</w:t>
      </w:r>
      <w:r>
        <w:t xml:space="preserve">.</w:t>
      </w:r>
      <w:r/>
    </w:p>
    <w:p>
      <w:pPr>
        <w:contextualSpacing/>
        <w:ind w:left="720"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47"/>
        <w:numPr>
          <w:ilvl w:val="0"/>
          <w:numId w:val="4"/>
        </w:numPr>
        <w:contextualSpacing/>
        <w:jc w:val="both"/>
        <w:widowControl w:val="off"/>
      </w:pPr>
      <w:r>
        <w:t xml:space="preserve">Дата начала срока подачи заявок: </w:t>
      </w:r>
      <w:r>
        <w:t xml:space="preserve">«01</w:t>
      </w:r>
      <w:r>
        <w:t xml:space="preserve">» ноября</w:t>
      </w:r>
      <w:r>
        <w:t xml:space="preserve"> 2025</w:t>
      </w:r>
      <w:r>
        <w:t xml:space="preserve"> г.</w:t>
      </w:r>
      <w:r/>
    </w:p>
    <w:p>
      <w:pPr>
        <w:contextualSpacing/>
        <w:ind w:left="720" w:firstLine="0"/>
        <w:jc w:val="both"/>
        <w:widowControl w:val="off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51"/>
        <w:numPr>
          <w:ilvl w:val="0"/>
          <w:numId w:val="4"/>
        </w:numPr>
        <w:contextualSpacing/>
        <w:ind w:left="0" w:firstLine="349"/>
        <w:jc w:val="both"/>
      </w:pPr>
      <w:r>
        <w:t xml:space="preserve">Дата и время окончания срока, посл</w:t>
      </w:r>
      <w:r>
        <w:t xml:space="preserve">едний день срока подачи Заявок:</w:t>
      </w:r>
      <w:r>
        <w:t xml:space="preserve"> </w:t>
      </w:r>
      <w:r>
        <w:t xml:space="preserve">«12</w:t>
      </w:r>
      <w:r>
        <w:t xml:space="preserve">» ноября</w:t>
      </w:r>
      <w:r>
        <w:t xml:space="preserve"> 2025</w:t>
      </w:r>
      <w:r>
        <w:t xml:space="preserve"> года </w:t>
      </w:r>
      <w:r>
        <w:t xml:space="preserve">10</w:t>
      </w:r>
      <w:r>
        <w:t xml:space="preserve">:00 (время московское)</w:t>
      </w:r>
      <w:r>
        <w:t xml:space="preserve">.</w:t>
      </w:r>
      <w:r/>
    </w:p>
    <w:p>
      <w:pPr>
        <w:pStyle w:val="1051"/>
        <w:contextualSpacing/>
        <w:ind w:left="349"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51"/>
        <w:numPr>
          <w:ilvl w:val="0"/>
          <w:numId w:val="4"/>
        </w:numPr>
        <w:contextualSpacing/>
        <w:ind w:left="0" w:firstLine="360"/>
        <w:jc w:val="both"/>
        <w:tabs>
          <w:tab w:val="left" w:pos="0" w:leader="none"/>
        </w:tabs>
      </w:pPr>
      <w:r>
        <w:rPr>
          <w:lang w:eastAsia="zh-CN" w:bidi="hi-IN"/>
        </w:rPr>
        <w:t xml:space="preserve">Место</w:t>
      </w:r>
      <w:r>
        <w:t xml:space="preserve"> рассмотрения заявок:</w:t>
      </w:r>
      <w:r>
        <w:rPr>
          <w:lang w:eastAsia="zh-CN" w:bidi="hi-IN"/>
        </w:rPr>
        <w:t xml:space="preserve"> </w:t>
      </w:r>
      <w:r/>
    </w:p>
    <w:p>
      <w:pPr>
        <w:pStyle w:val="1051"/>
        <w:contextualSpacing/>
        <w:ind w:left="360"/>
        <w:jc w:val="both"/>
        <w:tabs>
          <w:tab w:val="left" w:pos="0" w:leader="none"/>
        </w:tabs>
      </w:pPr>
      <w:r>
        <w:rPr>
          <w:lang w:eastAsia="zh-CN" w:bidi="hi-IN"/>
        </w:rPr>
        <w:t xml:space="preserve">По месту</w:t>
      </w:r>
      <w:r>
        <w:rPr>
          <w:lang w:eastAsia="zh-CN" w:bidi="hi-IN"/>
        </w:rPr>
        <w:t xml:space="preserve"> нахождения Организатора: </w:t>
      </w:r>
      <w:r>
        <w:t xml:space="preserve">443100, г. Самара, ул. Молодогвардейская, д.226.</w:t>
      </w:r>
      <w:r/>
    </w:p>
    <w:p>
      <w:pPr>
        <w:pStyle w:val="1051"/>
        <w:contextualSpacing/>
        <w:ind w:left="360"/>
        <w:jc w:val="both"/>
        <w:tabs>
          <w:tab w:val="left" w:pos="0" w:leader="none"/>
        </w:tabs>
      </w:pPr>
      <w:r/>
      <w:r/>
    </w:p>
    <w:p>
      <w:pPr>
        <w:pStyle w:val="1047"/>
        <w:numPr>
          <w:ilvl w:val="0"/>
          <w:numId w:val="4"/>
        </w:numPr>
        <w:contextualSpacing/>
        <w:jc w:val="both"/>
        <w:widowControl w:val="off"/>
      </w:pPr>
      <w:r>
        <w:t xml:space="preserve">Сведения о начальной (максимальной) цене договора:</w:t>
      </w:r>
      <w:r/>
    </w:p>
    <w:p>
      <w:pPr>
        <w:pStyle w:val="1047"/>
        <w:ind w:left="0"/>
        <w:jc w:val="both"/>
        <w:keepLines/>
        <w:spacing w:after="120"/>
        <w:widowControl w:val="off"/>
        <w:tabs>
          <w:tab w:val="left" w:pos="240" w:leader="none"/>
          <w:tab w:val="left" w:pos="709" w:leader="none"/>
        </w:tabs>
      </w:pPr>
      <w:r>
        <w:t xml:space="preserve">Начальная (максимальная) цена договора (цена лота) без НДС составляет</w:t>
      </w:r>
      <w:r>
        <w:t xml:space="preserve"> </w:t>
      </w:r>
      <w:r>
        <w:t xml:space="preserve">7</w:t>
      </w:r>
      <w:r>
        <w:t xml:space="preserve">71 875 (Семьсот семьдесят одна тысяча восемьсот семьдесят пять) рублей 00 копеек, кроме того НДС в размере 20 %. Начальная (максимальная) цена договора (цена лота) с учетом НДС составляет 926 250 (Девятьсот двадцать шесть тысяч двести пятьдесят) рублей 00 </w:t>
      </w:r>
      <w:r>
        <w:t xml:space="preserve">копеек</w:t>
      </w:r>
      <w:r>
        <w:t xml:space="preserve">.</w:t>
      </w:r>
      <w:r/>
    </w:p>
    <w:p>
      <w:pPr>
        <w:pStyle w:val="1047"/>
        <w:numPr>
          <w:ilvl w:val="0"/>
          <w:numId w:val="4"/>
        </w:numPr>
        <w:jc w:val="both"/>
        <w:keepLines/>
        <w:spacing w:after="120"/>
        <w:widowControl w:val="off"/>
        <w:tabs>
          <w:tab w:val="left" w:pos="240" w:leader="none"/>
          <w:tab w:val="left" w:pos="709" w:leader="none"/>
        </w:tabs>
      </w:pPr>
      <w:r>
        <w:rPr>
          <w:lang w:eastAsia="zh-CN" w:bidi="hi-IN"/>
        </w:rPr>
        <w:t xml:space="preserve">Классификация</w:t>
      </w:r>
      <w:r>
        <w:t xml:space="preserve"> товаров, работ, услуг.</w:t>
      </w:r>
      <w:r/>
    </w:p>
    <w:p>
      <w:pPr>
        <w:jc w:val="both"/>
        <w:keepLines/>
        <w:spacing w:after="120"/>
        <w:widowControl w:val="off"/>
        <w:tabs>
          <w:tab w:val="left" w:pos="240" w:leader="none"/>
          <w:tab w:val="left" w:pos="709" w:leader="none"/>
        </w:tabs>
      </w:pPr>
      <w:r/>
      <w:r/>
    </w:p>
    <w:p>
      <w:pPr>
        <w:jc w:val="both"/>
        <w:keepLines/>
        <w:spacing w:after="120"/>
        <w:widowControl w:val="off"/>
        <w:tabs>
          <w:tab w:val="left" w:pos="240" w:leader="none"/>
          <w:tab w:val="left" w:pos="709" w:leader="none"/>
        </w:tabs>
      </w:pPr>
      <w:r>
        <w:rPr>
          <w:highlight w:val="none"/>
        </w:rPr>
      </w:r>
      <w:r>
        <w:rPr>
          <w:highlight w:val="none"/>
        </w:rPr>
      </w:r>
      <w:r/>
    </w:p>
    <w:tbl>
      <w:tblPr>
        <w:tblW w:w="10490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3969"/>
        <w:gridCol w:w="3119"/>
        <w:gridCol w:w="3402"/>
      </w:tblGrid>
      <w:tr>
        <w:tblPrEx/>
        <w:trPr>
          <w:trHeight w:val="187"/>
        </w:trPr>
        <w:tc>
          <w:tcPr>
            <w:shd w:val="clear" w:color="auto" w:fill="d9d9d9"/>
            <w:tcW w:w="3969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Код ОКПД 2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d9d9d9"/>
            <w:tcW w:w="3119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Код ОКВЭД 2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d9d9d9"/>
            <w:tcW w:w="3402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Количество (ед. измерения)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blPrEx/>
        <w:trPr>
          <w:trHeight w:val="1700"/>
        </w:trPr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 xml:space="preserve">49.32.12.000 - Услуги по аренде легковых автомобилей с водителем</w:t>
            </w:r>
            <w:r>
              <w:rPr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shd w:val="clear" w:color="auto" w:fill="auto"/>
            <w:tcW w:w="3119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  <w:t xml:space="preserve">49.32 - Деятельность легкового такси и арендованных легковых автомобилей с водителем</w:t>
            </w:r>
            <w:r>
              <w:rPr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1 Условная единица(876)</w:t>
            </w:r>
            <w:r>
              <w:rPr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  <w:highlight w:val="yellow"/>
              </w:rPr>
            </w:r>
          </w:p>
        </w:tc>
      </w:tr>
    </w:tbl>
    <w:p>
      <w:pPr>
        <w:pStyle w:val="1050"/>
        <w:ind w:left="360"/>
        <w:jc w:val="both"/>
        <w:spacing w:after="0" w:line="240" w:lineRule="auto"/>
        <w:tabs>
          <w:tab w:val="left" w:pos="709" w:leader="none"/>
        </w:tabs>
      </w:pPr>
      <w:r/>
      <w:r/>
    </w:p>
    <w:p>
      <w:pPr>
        <w:pStyle w:val="1050"/>
        <w:ind w:left="284" w:firstLine="0"/>
        <w:jc w:val="both"/>
        <w:spacing w:after="0" w:line="240" w:lineRule="auto"/>
        <w:tabs>
          <w:tab w:val="left" w:pos="709" w:leader="none"/>
        </w:tabs>
        <w:rPr>
          <w:highlight w:val="none"/>
        </w:rPr>
      </w:pPr>
      <w:r>
        <w:rPr>
          <w:highlight w:val="none"/>
        </w:rPr>
        <w:t xml:space="preserve">10. На момент</w:t>
      </w:r>
      <w:r>
        <w:rPr>
          <w:highlight w:val="none"/>
        </w:rPr>
        <w:t xml:space="preserve"> окон</w:t>
      </w:r>
      <w:r>
        <w:rPr>
          <w:highlight w:val="none"/>
        </w:rPr>
        <w:t xml:space="preserve">чания срока подачи заявок</w:t>
      </w:r>
      <w:r>
        <w:rPr>
          <w:highlight w:val="none"/>
        </w:rPr>
        <w:t xml:space="preserve"> было подана </w:t>
      </w:r>
      <w:r>
        <w:rPr>
          <w:highlight w:val="none"/>
        </w:rPr>
        <w:t xml:space="preserve">1</w:t>
      </w:r>
      <w:r>
        <w:rPr>
          <w:highlight w:val="none"/>
        </w:rPr>
        <w:t xml:space="preserve"> </w:t>
      </w:r>
      <w:r>
        <w:rPr>
          <w:highlight w:val="none"/>
        </w:rPr>
        <w:t xml:space="preserve">(</w:t>
      </w:r>
      <w:r>
        <w:rPr>
          <w:highlight w:val="none"/>
        </w:rPr>
        <w:t xml:space="preserve">одна</w:t>
      </w:r>
      <w:r>
        <w:rPr>
          <w:highlight w:val="none"/>
        </w:rPr>
        <w:t xml:space="preserve">) </w:t>
      </w:r>
      <w:r>
        <w:rPr>
          <w:highlight w:val="none"/>
        </w:rPr>
        <w:t xml:space="preserve">заяв</w:t>
      </w:r>
      <w:r>
        <w:rPr>
          <w:highlight w:val="none"/>
        </w:rPr>
        <w:t xml:space="preserve">к</w:t>
      </w:r>
      <w:r>
        <w:rPr>
          <w:highlight w:val="none"/>
        </w:rPr>
        <w:t xml:space="preserve">а</w:t>
      </w:r>
      <w:r>
        <w:rPr>
          <w:highlight w:val="none"/>
        </w:rPr>
        <w:t xml:space="preserve"> от</w:t>
      </w:r>
      <w:r>
        <w:rPr>
          <w:highlight w:val="none"/>
        </w:rPr>
        <w:t xml:space="preserve"> участник</w:t>
      </w:r>
      <w:r>
        <w:rPr>
          <w:highlight w:val="none"/>
        </w:rPr>
        <w:t xml:space="preserve">а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050"/>
        <w:ind w:left="284" w:firstLine="0"/>
        <w:jc w:val="both"/>
        <w:spacing w:after="0" w:line="240" w:lineRule="auto"/>
        <w:tabs>
          <w:tab w:val="left" w:pos="709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511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1433"/>
        <w:gridCol w:w="1136"/>
        <w:gridCol w:w="3091"/>
        <w:gridCol w:w="1559"/>
        <w:gridCol w:w="1398"/>
      </w:tblGrid>
      <w:tr>
        <w:tblPrEx/>
        <w:trPr>
          <w:jc w:val="center"/>
          <w:trHeight w:val="1156"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433" w:type="dxa"/>
            <w:vMerge w:val="restart"/>
            <w:textDirection w:val="lrTb"/>
            <w:noWrap w:val="false"/>
          </w:tcPr>
          <w:p>
            <w:pPr>
              <w:ind w:left="-28"/>
              <w:jc w:val="center"/>
              <w:spacing w:before="0" w:after="0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Порядковый номер заявки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136" w:type="dxa"/>
            <w:vMerge w:val="restart"/>
            <w:textDirection w:val="lrTb"/>
            <w:noWrap w:val="false"/>
          </w:tcPr>
          <w:p>
            <w:pPr>
              <w:ind w:left="-28"/>
              <w:jc w:val="center"/>
              <w:spacing w:before="0" w:after="0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Дата и время подачи заявки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3091" w:type="dxa"/>
            <w:vMerge w:val="restart"/>
            <w:textDirection w:val="lrTb"/>
            <w:noWrap w:val="false"/>
          </w:tcPr>
          <w:p>
            <w:pPr>
              <w:ind w:left="-28"/>
              <w:jc w:val="center"/>
              <w:spacing w:before="0" w:after="0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Наименование участника закупки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Ценовое предложение без НДС</w:t>
            </w:r>
            <w:r>
              <w:rPr>
                <w:b/>
                <w:bCs/>
                <w:color w:val="000000"/>
                <w:sz w:val="21"/>
                <w:szCs w:val="21"/>
              </w:rPr>
            </w:r>
            <w:r>
              <w:rPr>
                <w:b/>
                <w:bCs/>
                <w:color w:val="000000"/>
                <w:sz w:val="21"/>
                <w:szCs w:val="21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398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Ценовое предложение с НДС</w:t>
            </w:r>
            <w:r>
              <w:rPr>
                <w:b/>
                <w:bCs/>
                <w:color w:val="000000"/>
                <w:sz w:val="21"/>
                <w:szCs w:val="21"/>
              </w:rPr>
            </w:r>
            <w:r>
              <w:rPr>
                <w:b/>
                <w:bCs/>
                <w:color w:val="000000"/>
                <w:sz w:val="21"/>
                <w:szCs w:val="21"/>
              </w:rPr>
            </w:r>
          </w:p>
          <w:p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</w:r>
            <w:r>
              <w:rPr>
                <w:b/>
                <w:bCs/>
                <w:color w:val="000000"/>
                <w:sz w:val="21"/>
                <w:szCs w:val="21"/>
              </w:rPr>
            </w:r>
            <w:r>
              <w:rPr>
                <w:b/>
                <w:bCs/>
                <w:color w:val="000000"/>
                <w:sz w:val="21"/>
                <w:szCs w:val="21"/>
              </w:rPr>
            </w:r>
          </w:p>
        </w:tc>
      </w:tr>
      <w:tr>
        <w:tblPrEx/>
        <w:trPr>
          <w:jc w:val="center"/>
          <w:trHeight w:val="2658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3" w:type="dxa"/>
            <w:vAlign w:val="center"/>
            <w:textDirection w:val="lrTb"/>
            <w:noWrap w:val="false"/>
          </w:tcPr>
          <w:p>
            <w:pPr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ffffff" w:fill="ffffff"/>
            <w:tcW w:w="113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10.11.2025 07:35 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W w:w="3091" w:type="dxa"/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/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ИП КОРЧАГИН ПАВЕЛ ГЕННАДЬЕВИЧ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771</w:t>
            </w:r>
            <w:r>
              <w:rPr>
                <w:sz w:val="24"/>
                <w:szCs w:val="24"/>
                <w:highlight w:val="none"/>
              </w:rPr>
              <w:t xml:space="preserve"> 257,50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(Российский рубль)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8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-</w:t>
            </w:r>
            <w:r/>
          </w:p>
        </w:tc>
      </w:tr>
    </w:tbl>
    <w:p>
      <w:pPr>
        <w:pStyle w:val="1050"/>
        <w:jc w:val="both"/>
        <w:spacing w:after="0" w:line="240" w:lineRule="auto"/>
        <w:tabs>
          <w:tab w:val="left" w:pos="709" w:leader="none"/>
        </w:tabs>
      </w:pPr>
      <w:r/>
      <w:r/>
    </w:p>
    <w:p>
      <w:pPr>
        <w:pStyle w:val="1038"/>
        <w:ind w:left="360" w:firstLine="0"/>
        <w:spacing w:line="276" w:lineRule="auto"/>
        <w:tabs>
          <w:tab w:val="left" w:pos="426" w:leader="none"/>
          <w:tab w:val="left" w:pos="851" w:leader="none"/>
        </w:tabs>
        <w:rPr>
          <w:szCs w:val="24"/>
          <w:lang w:val="ru-RU"/>
        </w:rPr>
      </w:pPr>
      <w:r>
        <w:rPr>
          <w:szCs w:val="24"/>
          <w:lang w:val="ru-RU"/>
        </w:rPr>
        <w:t xml:space="preserve">11. В соответствии</w:t>
      </w:r>
      <w:r>
        <w:rPr>
          <w:szCs w:val="24"/>
          <w:lang w:val="ru-RU"/>
        </w:rPr>
        <w:t xml:space="preserve"> с решением Закупочной комиссии приняты следующие решения: </w:t>
      </w:r>
      <w:r>
        <w:rPr>
          <w:szCs w:val="24"/>
          <w:lang w:val="ru-RU"/>
        </w:rPr>
      </w:r>
      <w:r>
        <w:rPr>
          <w:szCs w:val="24"/>
          <w:lang w:val="ru-RU"/>
        </w:rPr>
      </w:r>
    </w:p>
    <w:p>
      <w:pPr>
        <w:contextualSpacing/>
        <w:ind w:firstLine="426"/>
        <w:jc w:val="both"/>
        <w:tabs>
          <w:tab w:val="left" w:pos="851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contextualSpacing/>
        <w:ind w:firstLine="426"/>
        <w:jc w:val="both"/>
        <w:tabs>
          <w:tab w:val="left" w:pos="851" w:leader="none"/>
        </w:tabs>
        <w:rPr>
          <w:rFonts w:eastAsia="Calibri"/>
          <w:b/>
          <w:bCs/>
          <w:lang w:eastAsia="en-US"/>
        </w:rPr>
      </w:pPr>
      <w:r>
        <w:rPr>
          <w:color w:val="000000"/>
        </w:rPr>
        <w:t xml:space="preserve">11</w:t>
      </w:r>
      <w:r>
        <w:rPr>
          <w:color w:val="000000"/>
        </w:rPr>
        <w:t xml:space="preserve">.1</w:t>
      </w:r>
      <w:r>
        <w:rPr>
          <w:color w:val="000000"/>
        </w:rPr>
        <w:t xml:space="preserve">. </w:t>
      </w:r>
      <w:r>
        <w:rPr>
          <w:color w:val="000000"/>
        </w:rPr>
        <w:t xml:space="preserve">Признать соответствующей требованиям документации и принять к дальнейшему рассмотрению заявку</w:t>
      </w:r>
      <w:r>
        <w:rPr>
          <w:rFonts w:eastAsia="Calibri"/>
          <w:b/>
          <w:bCs/>
          <w:lang w:eastAsia="en-US"/>
        </w:rPr>
        <w:t xml:space="preserve"> </w:t>
      </w:r>
      <w:r>
        <w:rPr>
          <w:rFonts w:eastAsia="Calibri"/>
          <w:b/>
          <w:bCs/>
          <w:lang w:eastAsia="en-US"/>
        </w:rPr>
        <w:t xml:space="preserve">ИП КОРЧАГИН ПАВЕЛ ГЕННАДЬЕВИЧ</w:t>
      </w:r>
      <w:r>
        <w:rPr>
          <w:b/>
          <w:color w:val="000000"/>
        </w:rPr>
        <w:t xml:space="preserve">.</w:t>
      </w:r>
      <w:r>
        <w:rPr>
          <w:rFonts w:eastAsia="Calibri"/>
          <w:b/>
          <w:bCs/>
          <w:lang w:eastAsia="en-US"/>
        </w:rPr>
      </w:r>
      <w:r>
        <w:rPr>
          <w:rFonts w:eastAsia="Calibri"/>
          <w:b/>
          <w:bCs/>
          <w:lang w:eastAsia="en-US"/>
        </w:rPr>
      </w:r>
    </w:p>
    <w:p>
      <w:pPr>
        <w:contextualSpacing/>
        <w:ind w:firstLine="426"/>
        <w:jc w:val="both"/>
        <w:tabs>
          <w:tab w:val="left" w:pos="851" w:leader="none"/>
        </w:tabs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contextualSpacing/>
        <w:ind w:firstLine="426"/>
        <w:jc w:val="both"/>
        <w:keepLines/>
        <w:keepNext/>
        <w:widowControl w:val="off"/>
        <w:tabs>
          <w:tab w:val="left" w:pos="426" w:leader="none"/>
        </w:tabs>
        <w:rPr>
          <w:b/>
          <w:color w:val="000000"/>
        </w:rPr>
      </w:pPr>
      <w:r>
        <w:rPr>
          <w:b/>
          <w:color w:val="000000"/>
        </w:rPr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1038"/>
        <w:spacing w:after="240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  <w:lang w:val="ru-RU"/>
        </w:rPr>
      </w:pPr>
      <w:r>
        <w:rPr>
          <w:b/>
          <w:szCs w:val="24"/>
          <w:lang w:val="ru-RU"/>
        </w:rPr>
        <w:t xml:space="preserve">III. РЕШЕНИЕ</w:t>
      </w:r>
      <w:r>
        <w:rPr>
          <w:b/>
          <w:szCs w:val="24"/>
          <w:lang w:val="ru-RU"/>
        </w:rPr>
        <w:t xml:space="preserve"> ЗАКУПОЧНОЙ КОМИССИИ.</w:t>
      </w: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</w:p>
    <w:p>
      <w:pPr>
        <w:pStyle w:val="1047"/>
        <w:numPr>
          <w:ilvl w:val="0"/>
          <w:numId w:val="18"/>
        </w:numPr>
        <w:contextualSpacing/>
        <w:ind w:left="0" w:right="-2" w:firstLine="142"/>
        <w:jc w:val="both"/>
        <w:tabs>
          <w:tab w:val="left" w:pos="851" w:leader="none"/>
        </w:tabs>
      </w:pPr>
      <w:r>
        <w:t xml:space="preserve">В связи с тем, что по окончании срока подачи заявок подана только одна заявка, на основании п.7.5.1. а) Единого стандарта закупок ПАО «</w:t>
      </w:r>
      <w:r>
        <w:t xml:space="preserve">Р</w:t>
      </w:r>
      <w:r>
        <w:t xml:space="preserve">оссети</w:t>
      </w:r>
      <w:r>
        <w:t xml:space="preserve">» (Положение о закупке), настоящий запрос </w:t>
      </w:r>
      <w:r>
        <w:t xml:space="preserve">котировок в электронной форме, участниками которого могут быть только субъекты малого и среднего </w:t>
      </w:r>
      <w:r>
        <w:t xml:space="preserve">предпринимательства, признается несостоявшимся.</w:t>
      </w:r>
      <w:r/>
    </w:p>
    <w:p>
      <w:pPr>
        <w:contextualSpacing/>
        <w:ind w:left="142" w:right="-2" w:firstLine="0"/>
        <w:jc w:val="both"/>
        <w:tabs>
          <w:tab w:val="left" w:pos="851" w:leader="none"/>
        </w:tabs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47"/>
        <w:numPr>
          <w:ilvl w:val="0"/>
          <w:numId w:val="18"/>
        </w:numPr>
        <w:contextualSpacing/>
        <w:ind w:left="0" w:right="-2" w:firstLine="142"/>
        <w:jc w:val="both"/>
        <w:tabs>
          <w:tab w:val="left" w:pos="851" w:leader="none"/>
        </w:tabs>
      </w:pPr>
      <w:r>
        <w:t xml:space="preserve">В соответствии с п. 7.5.3. Единого стандарта закупок ПАО «Россети» (Положение о закупке) заключить с </w:t>
      </w:r>
      <w:r>
        <w:t xml:space="preserve">ИП КОРЧАГИН ПАВЕЛ ГЕННАДЬЕВИЧ</w:t>
      </w:r>
      <w:r>
        <w:t xml:space="preserve"> договор </w:t>
      </w:r>
      <w:r>
        <w:t xml:space="preserve">на </w:t>
      </w:r>
      <w:r>
        <w:t xml:space="preserve">оказание услуг по доставке персонала на ПС 500 кВ Преображенская для нужд филиала ПАО «Россети» - Оренбургское ПМЭС</w:t>
      </w:r>
      <w:r/>
      <w:r/>
      <w:r>
        <w:t xml:space="preserve"> </w:t>
      </w:r>
      <w:r>
        <w:t xml:space="preserve">на сумму</w:t>
      </w:r>
      <w:r>
        <w:t xml:space="preserve"> не более</w:t>
      </w:r>
      <w:r>
        <w:t xml:space="preserve"> 771</w:t>
      </w:r>
      <w:r>
        <w:t xml:space="preserve"> 257 (семьсот семьдесят одна тысяча двести пятьдесят семь) рублей 50 коп</w:t>
      </w:r>
      <w:r>
        <w:t xml:space="preserve">. без НДС. </w:t>
      </w:r>
      <w:r/>
    </w:p>
    <w:p>
      <w:pPr>
        <w:pStyle w:val="1047"/>
        <w:contextualSpacing/>
        <w:ind w:left="720" w:right="-2"/>
        <w:jc w:val="both"/>
        <w:tabs>
          <w:tab w:val="left" w:pos="851" w:leader="none"/>
        </w:tabs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47"/>
        <w:contextualSpacing/>
        <w:ind w:left="720" w:right="-2"/>
        <w:jc w:val="both"/>
        <w:tabs>
          <w:tab w:val="left" w:pos="851" w:leader="none"/>
        </w:tabs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047"/>
        <w:contextualSpacing/>
        <w:ind w:left="720" w:right="-2"/>
        <w:jc w:val="both"/>
        <w:tabs>
          <w:tab w:val="left" w:pos="851" w:leader="none"/>
        </w:tabs>
      </w:pPr>
      <w:r>
        <w:rPr>
          <w:b/>
        </w:rPr>
        <w:t xml:space="preserve">Директору </w:t>
      </w:r>
      <w:r>
        <w:rPr>
          <w:b/>
        </w:rPr>
        <w:t xml:space="preserve">фили</w:t>
      </w:r>
      <w:r>
        <w:rPr>
          <w:b/>
        </w:rPr>
        <w:t xml:space="preserve">ала</w:t>
      </w:r>
      <w:r>
        <w:rPr>
          <w:b/>
        </w:rPr>
        <w:t xml:space="preserve"> ПАО «</w:t>
      </w:r>
      <w:r>
        <w:rPr>
          <w:b/>
        </w:rPr>
        <w:t xml:space="preserve">Россети</w:t>
      </w:r>
      <w:r>
        <w:rPr>
          <w:b/>
        </w:rPr>
        <w:t xml:space="preserve">» –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Оренбургс</w:t>
      </w:r>
      <w:r>
        <w:rPr>
          <w:b/>
          <w:bCs/>
          <w:szCs w:val="20"/>
        </w:rPr>
        <w:t xml:space="preserve">кое</w:t>
      </w:r>
      <w:r>
        <w:rPr>
          <w:b/>
          <w:szCs w:val="20"/>
        </w:rPr>
        <w:t xml:space="preserve"> ПМЭС</w:t>
      </w:r>
      <w:r>
        <w:t xml:space="preserve">:</w:t>
      </w:r>
      <w:r/>
    </w:p>
    <w:p>
      <w:pPr>
        <w:pStyle w:val="1038"/>
        <w:ind w:left="0"/>
        <w:tabs>
          <w:tab w:val="left" w:pos="0" w:leader="none"/>
          <w:tab w:val="left" w:pos="851" w:leader="none"/>
          <w:tab w:val="left" w:pos="1418" w:leader="none"/>
        </w:tabs>
      </w:pPr>
      <w:r>
        <w:t xml:space="preserve">В течение 20 (д</w:t>
      </w:r>
      <w:r>
        <w:t xml:space="preserve">вадцати) дней с даты размещения итогового протокола на официальном сайте Единой информационной системы в сфере закупок (но не ранее чем через 10 (десять) дней с даты размещения итогового протокола на официальном сайте Единой информационной системы в сфере </w:t>
      </w:r>
      <w:r>
        <w:t xml:space="preserve">закупок) заключить договор с</w:t>
      </w:r>
      <w:r>
        <w:t xml:space="preserve"> </w:t>
      </w:r>
      <w:r>
        <w:t xml:space="preserve">ИП КОРЧАГИН ПАВЕЛ ГЕННАДЬЕВИЧ</w:t>
      </w:r>
      <w:r>
        <w:t xml:space="preserve"> на </w:t>
      </w:r>
      <w:r>
        <w:t xml:space="preserve">оказание услуг по доставке персонала на ПС 500 кВ Преображенская для нужд филиала ПАО «Россети» - Оренбургское ПМЭС</w:t>
      </w:r>
      <w:r>
        <w:t xml:space="preserve">.</w:t>
      </w:r>
      <w:r>
        <w:rPr>
          <w:bCs/>
          <w:szCs w:val="24"/>
        </w:rPr>
      </w:r>
      <w:r/>
    </w:p>
    <w:p>
      <w:pPr>
        <w:pStyle w:val="1038"/>
        <w:ind w:left="0"/>
        <w:rPr>
          <w:b/>
          <w:bCs/>
          <w:i/>
          <w:szCs w:val="24"/>
          <w:lang w:val="ru-RU"/>
        </w:rPr>
      </w:pPr>
      <w:r>
        <w:rPr>
          <w:b/>
          <w:bCs/>
          <w:i/>
          <w:szCs w:val="24"/>
          <w:lang w:val="ru-RU"/>
        </w:rPr>
      </w:r>
      <w:r>
        <w:rPr>
          <w:b/>
          <w:bCs/>
          <w:i/>
          <w:szCs w:val="24"/>
          <w:lang w:val="ru-RU"/>
        </w:rPr>
      </w:r>
      <w:r>
        <w:rPr>
          <w:b/>
          <w:bCs/>
          <w:i/>
          <w:szCs w:val="24"/>
          <w:lang w:val="ru-RU"/>
        </w:rPr>
      </w:r>
    </w:p>
    <w:p>
      <w:pPr>
        <w:pStyle w:val="1038"/>
        <w:ind w:left="0" w:firstLine="426"/>
        <w:tabs>
          <w:tab w:val="left" w:pos="709" w:leader="none"/>
        </w:tabs>
        <w:rPr>
          <w:szCs w:val="24"/>
        </w:rPr>
      </w:pPr>
      <w:r>
        <w:rPr>
          <w:szCs w:val="24"/>
        </w:rPr>
        <w:t xml:space="preserve">Настоящий протокол подлежит опубликованию на официальном сайте, адрес которого указан в документации, не позднее трех дней со дня его подписания. </w:t>
      </w:r>
      <w:r>
        <w:rPr>
          <w:szCs w:val="24"/>
        </w:rPr>
      </w:r>
      <w:r>
        <w:rPr>
          <w:szCs w:val="24"/>
        </w:rPr>
      </w:r>
    </w:p>
    <w:p>
      <w:pPr>
        <w:jc w:val="both"/>
        <w:keepLines/>
        <w:keepNext/>
        <w:spacing w:before="0" w:after="0"/>
        <w:widowControl w:val="off"/>
        <w:tabs>
          <w:tab w:val="left" w:pos="426" w:leader="none"/>
        </w:tabs>
        <w:rPr>
          <w:bCs/>
          <w:highlight w:val="none"/>
        </w:rPr>
      </w:pPr>
      <w:r>
        <w:rPr>
          <w:bCs/>
          <w:highlight w:val="none"/>
        </w:rPr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56"/>
        <w:ind w:left="0"/>
        <w:tabs>
          <w:tab w:val="left" w:pos="709" w:leader="none"/>
        </w:tabs>
        <w:rPr>
          <w:szCs w:val="24"/>
          <w:lang w:val="ru-RU"/>
        </w:rPr>
      </w:pPr>
      <w:r>
        <w:rPr>
          <w:szCs w:val="24"/>
          <w:lang w:val="ru-RU"/>
        </w:rPr>
      </w:r>
      <w:r>
        <w:rPr>
          <w:szCs w:val="24"/>
          <w:lang w:val="ru-RU"/>
        </w:rPr>
      </w:r>
      <w:r>
        <w:rPr>
          <w:szCs w:val="24"/>
          <w:lang w:val="ru-RU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52"/>
        <w:gridCol w:w="1689"/>
        <w:gridCol w:w="2126"/>
        <w:gridCol w:w="4123"/>
      </w:tblGrid>
      <w:tr>
        <w:tblPrEx/>
        <w:trPr>
          <w:trHeight w:val="13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1028"/>
              <w:ind w:firstLine="3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Председатель Закупочной комиссии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9" w:type="dxa"/>
            <w:vAlign w:val="center"/>
            <w:textDirection w:val="lrTb"/>
            <w:noWrap w:val="false"/>
          </w:tcPr>
          <w:p>
            <w:pPr>
              <w:pStyle w:val="1028"/>
              <w:ind w:firstLine="34"/>
              <w:jc w:val="center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1028"/>
              <w:ind w:firstLine="3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С.А. Демин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3" w:type="dxa"/>
            <w:vAlign w:val="center"/>
            <w:textDirection w:val="lrTb"/>
            <w:noWrap w:val="false"/>
          </w:tcPr>
          <w:p>
            <w:pPr>
              <w:pStyle w:val="1028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Генеральный директор филиала  ПАО «</w:t>
            </w:r>
            <w:r>
              <w:rPr>
                <w:rFonts w:ascii="Times New Roman CYR" w:hAnsi="Times New Roman CYR"/>
              </w:rPr>
              <w:t xml:space="preserve">Россети</w:t>
            </w:r>
            <w:r>
              <w:rPr>
                <w:rFonts w:ascii="Times New Roman CYR" w:hAnsi="Times New Roman CYR"/>
              </w:rPr>
              <w:t xml:space="preserve">» - МЭС Волги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</w:tr>
      <w:tr>
        <w:tblPrEx/>
        <w:trPr>
          <w:trHeight w:val="11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1028"/>
              <w:ind w:firstLine="34"/>
              <w:jc w:val="center"/>
              <w:spacing w:line="276" w:lineRule="auto"/>
              <w:rPr>
                <w:rFonts w:ascii="Times New Roman CYR" w:hAnsi="Times New Roman CYR"/>
                <w:lang w:eastAsia="en-US"/>
              </w:rPr>
            </w:pPr>
            <w:r>
              <w:rPr>
                <w:rFonts w:ascii="Times New Roman CYR" w:hAnsi="Times New Roman CYR"/>
                <w:lang w:eastAsia="en-US"/>
              </w:rPr>
              <w:t xml:space="preserve">Ответственный секретарь Закупочной комиссии</w:t>
            </w:r>
            <w:r>
              <w:rPr>
                <w:rFonts w:ascii="Times New Roman CYR" w:hAnsi="Times New Roman CYR"/>
                <w:lang w:eastAsia="en-US"/>
              </w:rPr>
            </w:r>
            <w:r>
              <w:rPr>
                <w:rFonts w:ascii="Times New Roman CYR" w:hAnsi="Times New Roman CYR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9" w:type="dxa"/>
            <w:vAlign w:val="center"/>
            <w:textDirection w:val="lrTb"/>
            <w:noWrap w:val="false"/>
          </w:tcPr>
          <w:p>
            <w:pPr>
              <w:pStyle w:val="1028"/>
              <w:ind w:firstLine="34"/>
              <w:jc w:val="center"/>
              <w:spacing w:line="276" w:lineRule="auto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  <w:lang w:eastAsia="en-US"/>
              </w:rPr>
            </w:pPr>
            <w:r>
              <w:rPr>
                <w:rFonts w:ascii="Times New Roman CYR" w:hAnsi="Times New Roman CYR"/>
                <w:lang w:eastAsia="en-US"/>
              </w:rPr>
            </w:r>
            <w:r>
              <w:rPr>
                <w:rFonts w:ascii="Times New Roman CYR" w:hAnsi="Times New Roman CYR"/>
                <w:lang w:eastAsia="en-US"/>
              </w:rPr>
            </w:r>
            <w:r>
              <w:rPr>
                <w:rFonts w:ascii="Times New Roman CYR" w:hAnsi="Times New Roman CYR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1028"/>
              <w:jc w:val="center"/>
              <w:spacing w:line="276" w:lineRule="auto"/>
              <w:widowControl w:val="off"/>
              <w:rPr>
                <w:lang w:eastAsia="en-US"/>
              </w:rPr>
            </w:pPr>
            <w:r>
              <w:rPr>
                <w:lang w:eastAsia="en-US"/>
              </w:rPr>
              <w:t xml:space="preserve">С.Д. Шульгин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23" w:type="dxa"/>
            <w:vAlign w:val="center"/>
            <w:textDirection w:val="lrTb"/>
            <w:noWrap w:val="false"/>
          </w:tcPr>
          <w:p>
            <w:pPr>
              <w:pStyle w:val="1028"/>
              <w:jc w:val="center"/>
              <w:spacing w:line="276" w:lineRule="auto"/>
              <w:widowControl w:val="off"/>
              <w:rPr>
                <w:lang w:eastAsia="en-US"/>
              </w:rPr>
            </w:pPr>
            <w:r>
              <w:rPr>
                <w:lang w:eastAsia="en-US"/>
              </w:rPr>
              <w:t xml:space="preserve">С</w:t>
            </w:r>
            <w:r>
              <w:rPr>
                <w:lang w:eastAsia="en-US"/>
              </w:rPr>
              <w:t xml:space="preserve">пециалист</w:t>
            </w:r>
            <w:r>
              <w:rPr>
                <w:lang w:eastAsia="en-US"/>
              </w:rPr>
              <w:t xml:space="preserve"> 1 категории</w:t>
            </w:r>
            <w:r>
              <w:rPr>
                <w:lang w:eastAsia="en-US"/>
              </w:rPr>
              <w:t xml:space="preserve"> службы закупок филиала </w:t>
            </w:r>
            <w:r>
              <w:rPr>
                <w:lang w:eastAsia="en-US"/>
              </w:rPr>
              <w:t xml:space="preserve">                                  </w:t>
            </w:r>
            <w:r>
              <w:rPr>
                <w:lang w:eastAsia="en-US"/>
              </w:rPr>
              <w:t xml:space="preserve">ПАО «</w:t>
            </w:r>
            <w:r>
              <w:rPr>
                <w:lang w:eastAsia="en-US"/>
              </w:rPr>
              <w:t xml:space="preserve">Россети</w:t>
            </w:r>
            <w:r>
              <w:rPr>
                <w:lang w:eastAsia="en-US"/>
              </w:rPr>
              <w:t xml:space="preserve">» - МЭС Волги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</w:tbl>
    <w:p>
      <w:r/>
      <w:r/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709" w:right="720" w:bottom="1418" w:left="720" w:header="284" w:footer="28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Segoe UI">
    <w:panose1 w:val="020B0502040504020204"/>
  </w:font>
  <w:font w:name="Times New Roman CYR">
    <w:panose1 w:val="020206030504050203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tabs>
        <w:tab w:val="left" w:pos="986" w:leader="none"/>
        <w:tab w:val="center" w:pos="5197" w:leader="none"/>
      </w:tabs>
      <w:rPr>
        <w:b/>
        <w:bCs/>
      </w:rPr>
      <w:outlineLvl w:val="0"/>
    </w:pPr>
    <w:r>
      <w:rPr>
        <w:b w:val="0"/>
        <w:bCs w:val="0"/>
        <w:sz w:val="16"/>
        <w:szCs w:val="16"/>
      </w:rPr>
      <w:t xml:space="preserve">ПРОТОКОЛ </w:t>
    </w:r>
    <w:r>
      <w:rPr>
        <w:b w:val="0"/>
        <w:bCs w:val="0"/>
        <w:sz w:val="16"/>
        <w:szCs w:val="16"/>
      </w:rPr>
      <w:t xml:space="preserve">№ </w:t>
    </w:r>
    <w:r>
      <w:rPr>
        <w:rFonts w:ascii="Times New Roman" w:hAnsi="Times New Roman" w:cs="Times New Roman"/>
        <w:b w:val="0"/>
        <w:bCs w:val="0"/>
        <w:sz w:val="16"/>
        <w:szCs w:val="16"/>
      </w:rPr>
      <w:t xml:space="preserve">2/</w:t>
    </w:r>
    <w:r>
      <w:rPr>
        <w:rFonts w:ascii="Times New Roman" w:hAnsi="Times New Roman" w:cs="Times New Roman"/>
        <w:b w:val="0"/>
        <w:bCs w:val="0"/>
        <w:sz w:val="16"/>
        <w:szCs w:val="16"/>
      </w:rPr>
      <w:t xml:space="preserve">3663293</w:t>
    </w:r>
    <w:r>
      <w:rPr>
        <w:b w:val="0"/>
        <w:bCs w:val="0"/>
        <w:sz w:val="16"/>
        <w:szCs w:val="16"/>
      </w:rPr>
    </w:r>
    <w:r>
      <w:rPr>
        <w:b/>
        <w:bCs/>
      </w:rPr>
    </w:r>
  </w:p>
  <w:p>
    <w:pPr>
      <w:jc w:val="center"/>
      <w:rPr>
        <w:b w:val="0"/>
        <w:bCs w:val="0"/>
        <w:sz w:val="16"/>
        <w:szCs w:val="16"/>
      </w:rPr>
    </w:pPr>
    <w:r>
      <w:rPr>
        <w:b w:val="0"/>
        <w:bCs w:val="0"/>
        <w:sz w:val="16"/>
        <w:szCs w:val="16"/>
      </w:rPr>
      <w:t xml:space="preserve">заочного заседания Закупочной комиссии по подведению итогов </w:t>
    </w:r>
    <w:r>
      <w:rPr>
        <w:b w:val="0"/>
        <w:bCs w:val="0"/>
        <w:sz w:val="16"/>
        <w:szCs w:val="16"/>
      </w:rPr>
      <w:t xml:space="preserve">запроса котировок в электронной форме, </w:t>
    </w:r>
    <w:r>
      <w:rPr>
        <w:b w:val="0"/>
        <w:bCs w:val="0"/>
        <w:sz w:val="16"/>
        <w:szCs w:val="16"/>
      </w:rPr>
      <w:t xml:space="preserve">участниками которого могут быть только субъекты малого и среднего предпринимательства</w:t>
    </w:r>
    <w:r>
      <w:rPr>
        <w:b w:val="0"/>
        <w:bCs w:val="0"/>
        <w:sz w:val="16"/>
        <w:szCs w:val="16"/>
      </w:rPr>
      <w:t xml:space="preserve">,</w:t>
    </w:r>
    <w:r>
      <w:rPr>
        <w:b w:val="0"/>
        <w:bCs w:val="0"/>
        <w:sz w:val="16"/>
        <w:szCs w:val="16"/>
      </w:rPr>
      <w:t xml:space="preserve"> </w:t>
    </w:r>
    <w:r>
      <w:rPr>
        <w:b w:val="0"/>
        <w:bCs w:val="0"/>
        <w:sz w:val="16"/>
        <w:szCs w:val="16"/>
      </w:rPr>
      <w:t xml:space="preserve">на право заключения договора на </w:t>
    </w:r>
    <w:r>
      <w:rPr>
        <w:b w:val="0"/>
        <w:bCs w:val="0"/>
        <w:sz w:val="16"/>
        <w:szCs w:val="16"/>
      </w:rPr>
      <w:t xml:space="preserve">оказание услуг по доставке персонала на ПС 500 кВ Преображенская для нужд филиала ПАО «Россети» - Оренбургское ПМЭС</w:t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  <w:p>
    <w:pPr>
      <w:ind w:left="-284" w:firstLine="180"/>
      <w:jc w:val="center"/>
      <w:tabs>
        <w:tab w:val="left" w:pos="986" w:leader="none"/>
        <w:tab w:val="center" w:pos="5197" w:leader="none"/>
      </w:tabs>
      <w:rPr>
        <w:b w:val="0"/>
        <w:bCs w:val="0"/>
        <w:sz w:val="16"/>
        <w:szCs w:val="16"/>
      </w:rPr>
      <w:outlineLvl w:val="0"/>
    </w:pP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  <w:p>
    <w:pPr>
      <w:ind w:left="-284" w:firstLine="180"/>
      <w:jc w:val="center"/>
      <w:tabs>
        <w:tab w:val="left" w:pos="986" w:leader="none"/>
        <w:tab w:val="center" w:pos="5197" w:leader="none"/>
      </w:tabs>
      <w:rPr>
        <w:b w:val="0"/>
        <w:bCs w:val="0"/>
        <w:sz w:val="16"/>
        <w:szCs w:val="16"/>
      </w:rPr>
      <w:outlineLvl w:val="0"/>
    </w:pPr>
    <w:r>
      <w:rPr>
        <w:b w:val="0"/>
        <w:bCs w:val="0"/>
        <w:sz w:val="16"/>
        <w:szCs w:val="16"/>
      </w:rPr>
      <w:t xml:space="preserve">стр </w:t>
    </w:r>
    <w:fldSimple w:instr="PAGE \* MERGEFORMAT">
      <w:r>
        <w:rPr>
          <w:b w:val="0"/>
          <w:bCs w:val="0"/>
          <w:sz w:val="16"/>
          <w:szCs w:val="16"/>
        </w:rPr>
        <w:t xml:space="preserve">1</w:t>
      </w:r>
    </w:fldSimple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  <w:t xml:space="preserve"> из </w:t>
    </w:r>
    <w:fldSimple w:instr="NUMPAGES \* MERGEFORMAT">
      <w:r>
        <w:rPr>
          <w:b w:val="0"/>
          <w:bCs w:val="0"/>
          <w:sz w:val="16"/>
          <w:szCs w:val="16"/>
        </w:rPr>
        <w:t xml:space="preserve">3</w:t>
      </w:r>
    </w:fldSimple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3"/>
      <w:rPr>
        <w:rStyle w:val="1042"/>
      </w:rPr>
      <w:framePr w:wrap="around" w:vAnchor="text" w:hAnchor="margin" w:xAlign="center" w:y="1"/>
    </w:pPr>
    <w:r>
      <w:rPr>
        <w:rStyle w:val="1042"/>
      </w:rPr>
      <w:fldChar w:fldCharType="begin"/>
    </w:r>
    <w:r>
      <w:rPr>
        <w:rStyle w:val="1042"/>
      </w:rPr>
      <w:instrText xml:space="preserve">PAGE  </w:instrText>
    </w:r>
    <w:r>
      <w:rPr>
        <w:rStyle w:val="1042"/>
      </w:rPr>
      <w:fldChar w:fldCharType="end"/>
    </w:r>
    <w:r>
      <w:rPr>
        <w:rStyle w:val="1042"/>
      </w:rPr>
    </w:r>
    <w:r>
      <w:rPr>
        <w:rStyle w:val="1042"/>
      </w:rPr>
    </w:r>
  </w:p>
  <w:p>
    <w:pPr>
      <w:pStyle w:val="104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rPr>
        <w:sz w:val="18"/>
        <w:szCs w:val="18"/>
      </w:rPr>
    </w:pPr>
    <w:r>
      <w:rPr>
        <w:sz w:val="18"/>
        <w:szCs w:val="18"/>
      </w:rPr>
      <w:t xml:space="preserve">Протокол </w:t>
    </w:r>
    <w:r>
      <w:rPr>
        <w:sz w:val="18"/>
        <w:szCs w:val="18"/>
      </w:rPr>
      <w:t xml:space="preserve">от 18.07.2008 </w:t>
    </w:r>
    <w:r>
      <w:rPr>
        <w:sz w:val="18"/>
        <w:szCs w:val="18"/>
      </w:rPr>
      <w:t xml:space="preserve">№ </w:t>
    </w:r>
    <w:r>
      <w:rPr>
        <w:sz w:val="18"/>
        <w:szCs w:val="18"/>
      </w:rPr>
      <w:t xml:space="preserve">3/81784</w:t>
    </w:r>
    <w:r>
      <w:rPr>
        <w:sz w:val="18"/>
        <w:szCs w:val="18"/>
      </w:rPr>
    </w:r>
    <w:r>
      <w:rPr>
        <w:sz w:val="18"/>
        <w:szCs w:val="18"/>
      </w:rPr>
    </w:r>
  </w:p>
  <w:p>
    <w:pPr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заочного заседания Закупочной комиссии по оценке Предложений и </w:t>
    </w:r>
    <w:r>
      <w:rPr>
        <w:sz w:val="18"/>
        <w:szCs w:val="18"/>
      </w:rPr>
      <w:t xml:space="preserve">подведению итогов</w:t>
    </w:r>
    <w:r>
      <w:rPr>
        <w:sz w:val="18"/>
        <w:szCs w:val="18"/>
      </w:rPr>
      <w:t xml:space="preserve"> открытого запроса предложений на право заключения </w:t>
    </w:r>
    <w:r>
      <w:rPr>
        <w:sz w:val="18"/>
        <w:szCs w:val="18"/>
      </w:rPr>
      <w:t xml:space="preserve">договора на выполнение подрядных работ по титулу: «Комплексная реконструкция и техническое перевооружение ПС 220 кВ "Волхов-Северная" в г. Санкт-Петербурге» для нужд филиала</w:t>
    </w:r>
    <w:r>
      <w:rPr>
        <w:sz w:val="18"/>
        <w:szCs w:val="18"/>
      </w:rPr>
    </w:r>
    <w:r>
      <w:rPr>
        <w:sz w:val="18"/>
        <w:szCs w:val="18"/>
      </w:rPr>
    </w:r>
  </w:p>
  <w:p>
    <w:pPr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ОАО «ФСК ЕЭС» – МЭС Северо-Запада</w:t>
    </w:r>
    <w:r>
      <w:rPr>
        <w:sz w:val="18"/>
        <w:szCs w:val="18"/>
      </w:rPr>
      <w:t xml:space="preserve">.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043"/>
      <w:jc w:val="center"/>
      <w:rPr>
        <w:sz w:val="18"/>
        <w:szCs w:val="18"/>
      </w:rPr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2</w:t>
    </w:r>
    <w:r>
      <w:rPr>
        <w:sz w:val="18"/>
        <w:szCs w:val="18"/>
      </w:rPr>
      <w:fldChar w:fldCharType="end"/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0"/>
      <w:rPr>
        <w:rStyle w:val="1042"/>
      </w:rPr>
      <w:framePr w:wrap="around" w:vAnchor="text" w:hAnchor="margin" w:xAlign="right" w:y="1"/>
    </w:pPr>
    <w:r>
      <w:rPr>
        <w:rStyle w:val="1042"/>
      </w:rPr>
    </w:r>
    <w:r>
      <w:rPr>
        <w:rStyle w:val="1042"/>
      </w:rPr>
    </w:r>
    <w:r>
      <w:rPr>
        <w:rStyle w:val="1042"/>
      </w:rPr>
    </w:r>
  </w:p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0"/>
      <w:rPr>
        <w:rStyle w:val="1042"/>
      </w:rPr>
      <w:framePr w:wrap="around" w:vAnchor="text" w:hAnchor="margin" w:xAlign="right" w:y="1"/>
    </w:pPr>
    <w:r>
      <w:rPr>
        <w:rStyle w:val="1042"/>
      </w:rPr>
      <w:fldChar w:fldCharType="begin"/>
    </w:r>
    <w:r>
      <w:rPr>
        <w:rStyle w:val="1042"/>
      </w:rPr>
      <w:instrText xml:space="preserve">PAGE  </w:instrText>
    </w:r>
    <w:r>
      <w:rPr>
        <w:rStyle w:val="1042"/>
      </w:rPr>
      <w:fldChar w:fldCharType="end"/>
    </w:r>
    <w:r>
      <w:rPr>
        <w:rStyle w:val="1042"/>
      </w:rPr>
    </w:r>
    <w:r>
      <w:rPr>
        <w:rStyle w:val="1042"/>
      </w:rPr>
    </w:r>
  </w:p>
  <w:p>
    <w:pPr>
      <w:pStyle w:val="1040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46" w:hanging="360"/>
      </w:pPr>
      <w:rPr>
        <w:rFonts w:hint="default" w:eastAsia="Times New Roman"/>
        <w:b/>
      </w:rPr>
    </w:lvl>
    <w:lvl w:ilvl="1">
      <w:start w:val="1"/>
      <w:numFmt w:val="decimal"/>
      <w:isLgl/>
      <w:suff w:val="tab"/>
      <w:lvlText w:val="%1.%2."/>
      <w:lvlJc w:val="left"/>
      <w:pPr>
        <w:ind w:left="84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206" w:hanging="720"/>
      </w:pPr>
      <w:rPr>
        <w:rFonts w:hint="default"/>
        <w:i/>
      </w:rPr>
    </w:lvl>
    <w:lvl w:ilvl="3">
      <w:start w:val="1"/>
      <w:numFmt w:val="decimal"/>
      <w:isLgl/>
      <w:suff w:val="tab"/>
      <w:lvlText w:val="%1.%2.%3.%4."/>
      <w:lvlJc w:val="left"/>
      <w:pPr>
        <w:ind w:left="1206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56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566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92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92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86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suff w:val="tab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7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786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suff w:val="tab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suff w:val="tab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-360" w:leader="none"/>
        </w:tabs>
      </w:pPr>
      <w:rPr>
        <w:b/>
      </w:rPr>
    </w:lvl>
    <w:lvl w:ilvl="1">
      <w:start w:val="1"/>
      <w:numFmt w:val="decimal"/>
      <w:isLgl w:val="false"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72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suff w:val="tab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7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6">
    <w:name w:val="Heading 1 Char"/>
    <w:basedOn w:val="1031"/>
    <w:link w:val="1029"/>
    <w:uiPriority w:val="9"/>
    <w:rPr>
      <w:rFonts w:ascii="Arial" w:hAnsi="Arial" w:eastAsia="Arial" w:cs="Arial"/>
      <w:sz w:val="40"/>
      <w:szCs w:val="40"/>
    </w:rPr>
  </w:style>
  <w:style w:type="paragraph" w:styleId="857">
    <w:name w:val="Heading 2"/>
    <w:basedOn w:val="1028"/>
    <w:next w:val="1028"/>
    <w:link w:val="85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58">
    <w:name w:val="Heading 2 Char"/>
    <w:basedOn w:val="1031"/>
    <w:link w:val="857"/>
    <w:uiPriority w:val="9"/>
    <w:rPr>
      <w:rFonts w:ascii="Arial" w:hAnsi="Arial" w:eastAsia="Arial" w:cs="Arial"/>
      <w:sz w:val="34"/>
    </w:rPr>
  </w:style>
  <w:style w:type="character" w:styleId="859">
    <w:name w:val="Heading 3 Char"/>
    <w:basedOn w:val="1031"/>
    <w:link w:val="1030"/>
    <w:uiPriority w:val="9"/>
    <w:rPr>
      <w:rFonts w:ascii="Arial" w:hAnsi="Arial" w:eastAsia="Arial" w:cs="Arial"/>
      <w:sz w:val="30"/>
      <w:szCs w:val="30"/>
    </w:rPr>
  </w:style>
  <w:style w:type="paragraph" w:styleId="860">
    <w:name w:val="Heading 4"/>
    <w:basedOn w:val="1028"/>
    <w:next w:val="1028"/>
    <w:link w:val="8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61">
    <w:name w:val="Heading 4 Char"/>
    <w:basedOn w:val="1031"/>
    <w:link w:val="860"/>
    <w:uiPriority w:val="9"/>
    <w:rPr>
      <w:rFonts w:ascii="Arial" w:hAnsi="Arial" w:eastAsia="Arial" w:cs="Arial"/>
      <w:b/>
      <w:bCs/>
      <w:sz w:val="26"/>
      <w:szCs w:val="26"/>
    </w:rPr>
  </w:style>
  <w:style w:type="paragraph" w:styleId="862">
    <w:name w:val="Heading 5"/>
    <w:basedOn w:val="1028"/>
    <w:next w:val="1028"/>
    <w:link w:val="8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63">
    <w:name w:val="Heading 5 Char"/>
    <w:basedOn w:val="1031"/>
    <w:link w:val="862"/>
    <w:uiPriority w:val="9"/>
    <w:rPr>
      <w:rFonts w:ascii="Arial" w:hAnsi="Arial" w:eastAsia="Arial" w:cs="Arial"/>
      <w:b/>
      <w:bCs/>
      <w:sz w:val="24"/>
      <w:szCs w:val="24"/>
    </w:rPr>
  </w:style>
  <w:style w:type="paragraph" w:styleId="864">
    <w:name w:val="Heading 6"/>
    <w:basedOn w:val="1028"/>
    <w:next w:val="1028"/>
    <w:link w:val="8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65">
    <w:name w:val="Heading 6 Char"/>
    <w:basedOn w:val="1031"/>
    <w:link w:val="864"/>
    <w:uiPriority w:val="9"/>
    <w:rPr>
      <w:rFonts w:ascii="Arial" w:hAnsi="Arial" w:eastAsia="Arial" w:cs="Arial"/>
      <w:b/>
      <w:bCs/>
      <w:sz w:val="22"/>
      <w:szCs w:val="22"/>
    </w:rPr>
  </w:style>
  <w:style w:type="paragraph" w:styleId="866">
    <w:name w:val="Heading 7"/>
    <w:basedOn w:val="1028"/>
    <w:next w:val="1028"/>
    <w:link w:val="8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7">
    <w:name w:val="Heading 7 Char"/>
    <w:basedOn w:val="1031"/>
    <w:link w:val="8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68">
    <w:name w:val="Heading 8"/>
    <w:basedOn w:val="1028"/>
    <w:next w:val="1028"/>
    <w:link w:val="8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69">
    <w:name w:val="Heading 8 Char"/>
    <w:basedOn w:val="1031"/>
    <w:link w:val="868"/>
    <w:uiPriority w:val="9"/>
    <w:rPr>
      <w:rFonts w:ascii="Arial" w:hAnsi="Arial" w:eastAsia="Arial" w:cs="Arial"/>
      <w:i/>
      <w:iCs/>
      <w:sz w:val="22"/>
      <w:szCs w:val="22"/>
    </w:rPr>
  </w:style>
  <w:style w:type="paragraph" w:styleId="870">
    <w:name w:val="Heading 9"/>
    <w:basedOn w:val="1028"/>
    <w:next w:val="1028"/>
    <w:link w:val="8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71">
    <w:name w:val="Heading 9 Char"/>
    <w:basedOn w:val="1031"/>
    <w:link w:val="870"/>
    <w:uiPriority w:val="9"/>
    <w:rPr>
      <w:rFonts w:ascii="Arial" w:hAnsi="Arial" w:eastAsia="Arial" w:cs="Arial"/>
      <w:i/>
      <w:iCs/>
      <w:sz w:val="21"/>
      <w:szCs w:val="21"/>
    </w:rPr>
  </w:style>
  <w:style w:type="paragraph" w:styleId="872">
    <w:name w:val="No Spacing"/>
    <w:uiPriority w:val="1"/>
    <w:qFormat/>
    <w:pPr>
      <w:spacing w:before="0" w:after="0" w:line="240" w:lineRule="auto"/>
    </w:pPr>
  </w:style>
  <w:style w:type="paragraph" w:styleId="873">
    <w:name w:val="Title"/>
    <w:basedOn w:val="1028"/>
    <w:next w:val="1028"/>
    <w:link w:val="8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74">
    <w:name w:val="Title Char"/>
    <w:basedOn w:val="1031"/>
    <w:link w:val="873"/>
    <w:uiPriority w:val="10"/>
    <w:rPr>
      <w:sz w:val="48"/>
      <w:szCs w:val="48"/>
    </w:rPr>
  </w:style>
  <w:style w:type="paragraph" w:styleId="875">
    <w:name w:val="Subtitle"/>
    <w:basedOn w:val="1028"/>
    <w:next w:val="1028"/>
    <w:link w:val="876"/>
    <w:uiPriority w:val="11"/>
    <w:qFormat/>
    <w:pPr>
      <w:spacing w:before="200" w:after="200"/>
    </w:pPr>
    <w:rPr>
      <w:sz w:val="24"/>
      <w:szCs w:val="24"/>
    </w:rPr>
  </w:style>
  <w:style w:type="character" w:styleId="876">
    <w:name w:val="Subtitle Char"/>
    <w:basedOn w:val="1031"/>
    <w:link w:val="875"/>
    <w:uiPriority w:val="11"/>
    <w:rPr>
      <w:sz w:val="24"/>
      <w:szCs w:val="24"/>
    </w:rPr>
  </w:style>
  <w:style w:type="paragraph" w:styleId="877">
    <w:name w:val="Quote"/>
    <w:basedOn w:val="1028"/>
    <w:next w:val="1028"/>
    <w:link w:val="878"/>
    <w:uiPriority w:val="29"/>
    <w:qFormat/>
    <w:pPr>
      <w:ind w:left="720" w:right="720"/>
    </w:pPr>
    <w:rPr>
      <w:i/>
    </w:rPr>
  </w:style>
  <w:style w:type="character" w:styleId="878">
    <w:name w:val="Quote Char"/>
    <w:link w:val="877"/>
    <w:uiPriority w:val="29"/>
    <w:rPr>
      <w:i/>
    </w:rPr>
  </w:style>
  <w:style w:type="paragraph" w:styleId="879">
    <w:name w:val="Intense Quote"/>
    <w:basedOn w:val="1028"/>
    <w:next w:val="1028"/>
    <w:link w:val="8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80">
    <w:name w:val="Intense Quote Char"/>
    <w:link w:val="879"/>
    <w:uiPriority w:val="30"/>
    <w:rPr>
      <w:i/>
    </w:rPr>
  </w:style>
  <w:style w:type="character" w:styleId="881">
    <w:name w:val="Header Char"/>
    <w:basedOn w:val="1031"/>
    <w:link w:val="1040"/>
    <w:uiPriority w:val="99"/>
  </w:style>
  <w:style w:type="character" w:styleId="882">
    <w:name w:val="Footer Char"/>
    <w:basedOn w:val="1031"/>
    <w:link w:val="1043"/>
    <w:uiPriority w:val="99"/>
  </w:style>
  <w:style w:type="paragraph" w:styleId="883">
    <w:name w:val="Caption"/>
    <w:basedOn w:val="1028"/>
    <w:next w:val="102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84">
    <w:name w:val="Caption Char"/>
    <w:basedOn w:val="883"/>
    <w:link w:val="1043"/>
    <w:uiPriority w:val="99"/>
  </w:style>
  <w:style w:type="table" w:styleId="885">
    <w:name w:val="Table Grid"/>
    <w:basedOn w:val="10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6">
    <w:name w:val="Table Grid Light"/>
    <w:basedOn w:val="10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7">
    <w:name w:val="Plain Table 1"/>
    <w:basedOn w:val="10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8">
    <w:name w:val="Plain Table 2"/>
    <w:basedOn w:val="10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9">
    <w:name w:val="Plain Table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90">
    <w:name w:val="Plain Table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Plain Table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92">
    <w:name w:val="Grid Table 1 Light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Grid Table 1 Light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Grid Table 1 Light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Grid Table 1 Light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Grid Table 1 Light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Grid Table 1 Light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Grid Table 1 Light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Grid Table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2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2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2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2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2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2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3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Grid Table 3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Grid Table 3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Grid Table 3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Grid Table 3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Grid Table 3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Grid Table 4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4">
    <w:name w:val="Grid Table 4 - Accent 1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15">
    <w:name w:val="Grid Table 4 - Accent 2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16">
    <w:name w:val="Grid Table 4 - Accent 3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17">
    <w:name w:val="Grid Table 4 - Accent 4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18">
    <w:name w:val="Grid Table 4 - Accent 5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19">
    <w:name w:val="Grid Table 4 - Accent 6"/>
    <w:basedOn w:val="10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20">
    <w:name w:val="Grid Table 5 Dark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1">
    <w:name w:val="Grid Table 5 Dark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22">
    <w:name w:val="Grid Table 5 Dark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23">
    <w:name w:val="Grid Table 5 Dark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24">
    <w:name w:val="Grid Table 5 Dark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25">
    <w:name w:val="Grid Table 5 Dark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26">
    <w:name w:val="Grid Table 5 Dark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27">
    <w:name w:val="Grid Table 6 Colorful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28">
    <w:name w:val="Grid Table 6 Colorful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9">
    <w:name w:val="Grid Table 6 Colorful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0">
    <w:name w:val="Grid Table 6 Colorful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1">
    <w:name w:val="Grid Table 6 Colorful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2">
    <w:name w:val="Grid Table 6 Colorful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3">
    <w:name w:val="Grid Table 6 Colorful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4">
    <w:name w:val="Grid Table 7 Colorful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Grid Table 7 Colorful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Grid Table 7 Colorful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Grid Table 7 Colorful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Grid Table 7 Colorful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Grid Table 7 Colorful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Grid Table 7 Colorful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List Table 1 Light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>
    <w:name w:val="List Table 1 Light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>
    <w:name w:val="List Table 1 Light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>
    <w:name w:val="List Table 1 Light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>
    <w:name w:val="List Table 1 Light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>
    <w:name w:val="List Table 1 Light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>
    <w:name w:val="List Table 1 Light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>
    <w:name w:val="List Table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49">
    <w:name w:val="List Table 2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50">
    <w:name w:val="List Table 2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51">
    <w:name w:val="List Table 2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52">
    <w:name w:val="List Table 2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53">
    <w:name w:val="List Table 2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54">
    <w:name w:val="List Table 2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55">
    <w:name w:val="List Table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>
    <w:name w:val="List Table 3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>
    <w:name w:val="List Table 3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>
    <w:name w:val="List Table 3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>
    <w:name w:val="List Table 3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>
    <w:name w:val="List Table 3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>
    <w:name w:val="List Table 3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>
    <w:name w:val="List Table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>
    <w:name w:val="List Table 4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>
    <w:name w:val="List Table 4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>
    <w:name w:val="List Table 4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>
    <w:name w:val="List Table 4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>
    <w:name w:val="List Table 4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>
    <w:name w:val="List Table 4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>
    <w:name w:val="List Table 5 Dark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0">
    <w:name w:val="List Table 5 Dark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1">
    <w:name w:val="List Table 5 Dark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2">
    <w:name w:val="List Table 5 Dark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3">
    <w:name w:val="List Table 5 Dark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4">
    <w:name w:val="List Table 5 Dark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5">
    <w:name w:val="List Table 5 Dark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6">
    <w:name w:val="List Table 6 Colorful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77">
    <w:name w:val="List Table 6 Colorful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78">
    <w:name w:val="List Table 6 Colorful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79">
    <w:name w:val="List Table 6 Colorful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80">
    <w:name w:val="List Table 6 Colorful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81">
    <w:name w:val="List Table 6 Colorful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82">
    <w:name w:val="List Table 6 Colorful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83">
    <w:name w:val="List Table 7 Colorful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84">
    <w:name w:val="List Table 7 Colorful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85">
    <w:name w:val="List Table 7 Colorful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86">
    <w:name w:val="List Table 7 Colorful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87">
    <w:name w:val="List Table 7 Colorful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88">
    <w:name w:val="List Table 7 Colorful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89">
    <w:name w:val="List Table 7 Colorful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90">
    <w:name w:val="Lined - Accent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1">
    <w:name w:val="Lined - Accent 1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92">
    <w:name w:val="Lined - Accent 2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93">
    <w:name w:val="Lined - Accent 3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94">
    <w:name w:val="Lined - Accent 4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95">
    <w:name w:val="Lined - Accent 5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96">
    <w:name w:val="Lined - Accent 6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97">
    <w:name w:val="Bordered &amp; Lined - Accent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8">
    <w:name w:val="Bordered &amp; Lined - Accent 1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99">
    <w:name w:val="Bordered &amp; Lined - Accent 2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00">
    <w:name w:val="Bordered &amp; Lined - Accent 3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01">
    <w:name w:val="Bordered &amp; Lined - Accent 4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02">
    <w:name w:val="Bordered &amp; Lined - Accent 5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03">
    <w:name w:val="Bordered &amp; Lined - Accent 6"/>
    <w:basedOn w:val="10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04">
    <w:name w:val="Bordered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05">
    <w:name w:val="Bordered - Accent 1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06">
    <w:name w:val="Bordered - Accent 2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07">
    <w:name w:val="Bordered - Accent 3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08">
    <w:name w:val="Bordered - Accent 4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09">
    <w:name w:val="Bordered - Accent 5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10">
    <w:name w:val="Bordered - Accent 6"/>
    <w:basedOn w:val="10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011">
    <w:name w:val="footnote text"/>
    <w:basedOn w:val="1028"/>
    <w:link w:val="1012"/>
    <w:uiPriority w:val="99"/>
    <w:semiHidden/>
    <w:unhideWhenUsed/>
    <w:pPr>
      <w:spacing w:after="40" w:line="240" w:lineRule="auto"/>
    </w:pPr>
    <w:rPr>
      <w:sz w:val="18"/>
    </w:rPr>
  </w:style>
  <w:style w:type="character" w:styleId="1012">
    <w:name w:val="Footnote Text Char"/>
    <w:link w:val="1011"/>
    <w:uiPriority w:val="99"/>
    <w:rPr>
      <w:sz w:val="18"/>
    </w:rPr>
  </w:style>
  <w:style w:type="character" w:styleId="1013">
    <w:name w:val="footnote reference"/>
    <w:basedOn w:val="1031"/>
    <w:uiPriority w:val="99"/>
    <w:unhideWhenUsed/>
    <w:rPr>
      <w:vertAlign w:val="superscript"/>
    </w:rPr>
  </w:style>
  <w:style w:type="paragraph" w:styleId="1014">
    <w:name w:val="endnote text"/>
    <w:basedOn w:val="1028"/>
    <w:link w:val="1015"/>
    <w:uiPriority w:val="99"/>
    <w:semiHidden/>
    <w:unhideWhenUsed/>
    <w:pPr>
      <w:spacing w:after="0" w:line="240" w:lineRule="auto"/>
    </w:pPr>
    <w:rPr>
      <w:sz w:val="20"/>
    </w:rPr>
  </w:style>
  <w:style w:type="character" w:styleId="1015">
    <w:name w:val="Endnote Text Char"/>
    <w:link w:val="1014"/>
    <w:uiPriority w:val="99"/>
    <w:rPr>
      <w:sz w:val="20"/>
    </w:rPr>
  </w:style>
  <w:style w:type="character" w:styleId="1016">
    <w:name w:val="endnote reference"/>
    <w:basedOn w:val="1031"/>
    <w:uiPriority w:val="99"/>
    <w:semiHidden/>
    <w:unhideWhenUsed/>
    <w:rPr>
      <w:vertAlign w:val="superscript"/>
    </w:rPr>
  </w:style>
  <w:style w:type="paragraph" w:styleId="1017">
    <w:name w:val="toc 1"/>
    <w:basedOn w:val="1028"/>
    <w:next w:val="1028"/>
    <w:uiPriority w:val="39"/>
    <w:unhideWhenUsed/>
    <w:pPr>
      <w:ind w:left="0" w:right="0" w:firstLine="0"/>
      <w:spacing w:after="57"/>
    </w:pPr>
  </w:style>
  <w:style w:type="paragraph" w:styleId="1018">
    <w:name w:val="toc 2"/>
    <w:basedOn w:val="1028"/>
    <w:next w:val="1028"/>
    <w:uiPriority w:val="39"/>
    <w:unhideWhenUsed/>
    <w:pPr>
      <w:ind w:left="283" w:right="0" w:firstLine="0"/>
      <w:spacing w:after="57"/>
    </w:pPr>
  </w:style>
  <w:style w:type="paragraph" w:styleId="1019">
    <w:name w:val="toc 3"/>
    <w:basedOn w:val="1028"/>
    <w:next w:val="1028"/>
    <w:uiPriority w:val="39"/>
    <w:unhideWhenUsed/>
    <w:pPr>
      <w:ind w:left="567" w:right="0" w:firstLine="0"/>
      <w:spacing w:after="57"/>
    </w:pPr>
  </w:style>
  <w:style w:type="paragraph" w:styleId="1020">
    <w:name w:val="toc 4"/>
    <w:basedOn w:val="1028"/>
    <w:next w:val="1028"/>
    <w:uiPriority w:val="39"/>
    <w:unhideWhenUsed/>
    <w:pPr>
      <w:ind w:left="850" w:right="0" w:firstLine="0"/>
      <w:spacing w:after="57"/>
    </w:pPr>
  </w:style>
  <w:style w:type="paragraph" w:styleId="1021">
    <w:name w:val="toc 5"/>
    <w:basedOn w:val="1028"/>
    <w:next w:val="1028"/>
    <w:uiPriority w:val="39"/>
    <w:unhideWhenUsed/>
    <w:pPr>
      <w:ind w:left="1134" w:right="0" w:firstLine="0"/>
      <w:spacing w:after="57"/>
    </w:pPr>
  </w:style>
  <w:style w:type="paragraph" w:styleId="1022">
    <w:name w:val="toc 6"/>
    <w:basedOn w:val="1028"/>
    <w:next w:val="1028"/>
    <w:uiPriority w:val="39"/>
    <w:unhideWhenUsed/>
    <w:pPr>
      <w:ind w:left="1417" w:right="0" w:firstLine="0"/>
      <w:spacing w:after="57"/>
    </w:pPr>
  </w:style>
  <w:style w:type="paragraph" w:styleId="1023">
    <w:name w:val="toc 7"/>
    <w:basedOn w:val="1028"/>
    <w:next w:val="1028"/>
    <w:uiPriority w:val="39"/>
    <w:unhideWhenUsed/>
    <w:pPr>
      <w:ind w:left="1701" w:right="0" w:firstLine="0"/>
      <w:spacing w:after="57"/>
    </w:pPr>
  </w:style>
  <w:style w:type="paragraph" w:styleId="1024">
    <w:name w:val="toc 8"/>
    <w:basedOn w:val="1028"/>
    <w:next w:val="1028"/>
    <w:uiPriority w:val="39"/>
    <w:unhideWhenUsed/>
    <w:pPr>
      <w:ind w:left="1984" w:right="0" w:firstLine="0"/>
      <w:spacing w:after="57"/>
    </w:pPr>
  </w:style>
  <w:style w:type="paragraph" w:styleId="1025">
    <w:name w:val="toc 9"/>
    <w:basedOn w:val="1028"/>
    <w:next w:val="1028"/>
    <w:uiPriority w:val="39"/>
    <w:unhideWhenUsed/>
    <w:pPr>
      <w:ind w:left="2268" w:right="0" w:firstLine="0"/>
      <w:spacing w:after="57"/>
    </w:pPr>
  </w:style>
  <w:style w:type="paragraph" w:styleId="1026">
    <w:name w:val="TOC Heading"/>
    <w:uiPriority w:val="39"/>
    <w:unhideWhenUsed/>
  </w:style>
  <w:style w:type="paragraph" w:styleId="1027">
    <w:name w:val="table of figures"/>
    <w:basedOn w:val="1028"/>
    <w:next w:val="1028"/>
    <w:uiPriority w:val="99"/>
    <w:unhideWhenUsed/>
    <w:pPr>
      <w:spacing w:after="0" w:afterAutospacing="0"/>
    </w:pPr>
  </w:style>
  <w:style w:type="paragraph" w:styleId="1028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9">
    <w:name w:val="Heading 1"/>
    <w:basedOn w:val="1028"/>
    <w:next w:val="1028"/>
    <w:link w:val="1034"/>
    <w:qFormat/>
    <w:pPr>
      <w:keepNext/>
      <w:outlineLvl w:val="0"/>
    </w:pPr>
    <w:rPr>
      <w:sz w:val="28"/>
    </w:rPr>
  </w:style>
  <w:style w:type="paragraph" w:styleId="1030">
    <w:name w:val="Heading 3"/>
    <w:basedOn w:val="1028"/>
    <w:next w:val="1028"/>
    <w:link w:val="1055"/>
    <w:uiPriority w:val="9"/>
    <w:semiHidden/>
    <w:unhideWhenUsed/>
    <w:qFormat/>
    <w:pPr>
      <w:keepLines/>
      <w:keepNext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1031" w:default="1">
    <w:name w:val="Default Paragraph Font"/>
    <w:uiPriority w:val="1"/>
    <w:semiHidden/>
    <w:unhideWhenUsed/>
  </w:style>
  <w:style w:type="table" w:styleId="10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33" w:default="1">
    <w:name w:val="No List"/>
    <w:uiPriority w:val="99"/>
    <w:semiHidden/>
    <w:unhideWhenUsed/>
  </w:style>
  <w:style w:type="character" w:styleId="1034" w:customStyle="1">
    <w:name w:val="Заголовок 1 Знак"/>
    <w:basedOn w:val="1031"/>
    <w:link w:val="1029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035">
    <w:name w:val="Hyperlink"/>
    <w:rPr>
      <w:color w:val="0000ff"/>
      <w:u w:val="single"/>
    </w:rPr>
  </w:style>
  <w:style w:type="paragraph" w:styleId="1036">
    <w:name w:val="Body Text 3"/>
    <w:basedOn w:val="1028"/>
    <w:link w:val="1037"/>
    <w:pPr>
      <w:jc w:val="both"/>
    </w:pPr>
    <w:rPr>
      <w:sz w:val="26"/>
      <w:szCs w:val="20"/>
    </w:rPr>
  </w:style>
  <w:style w:type="character" w:styleId="1037" w:customStyle="1">
    <w:name w:val="Основной текст 3 Знак"/>
    <w:basedOn w:val="1031"/>
    <w:link w:val="1036"/>
    <w:rPr>
      <w:rFonts w:ascii="Times New Roman" w:hAnsi="Times New Roman" w:eastAsia="Times New Roman" w:cs="Times New Roman"/>
      <w:sz w:val="26"/>
      <w:szCs w:val="20"/>
    </w:rPr>
  </w:style>
  <w:style w:type="paragraph" w:styleId="1038">
    <w:name w:val="Body Text Indent"/>
    <w:basedOn w:val="1028"/>
    <w:link w:val="1039"/>
    <w:pPr>
      <w:ind w:left="567"/>
      <w:jc w:val="both"/>
    </w:pPr>
    <w:rPr>
      <w:szCs w:val="20"/>
    </w:rPr>
  </w:style>
  <w:style w:type="character" w:styleId="1039" w:customStyle="1">
    <w:name w:val="Основной текст с отступом Знак"/>
    <w:basedOn w:val="1031"/>
    <w:link w:val="1038"/>
    <w:rPr>
      <w:rFonts w:ascii="Times New Roman" w:hAnsi="Times New Roman" w:eastAsia="Times New Roman" w:cs="Times New Roman"/>
      <w:sz w:val="24"/>
      <w:szCs w:val="20"/>
    </w:rPr>
  </w:style>
  <w:style w:type="paragraph" w:styleId="1040">
    <w:name w:val="Header"/>
    <w:basedOn w:val="1028"/>
    <w:link w:val="1041"/>
    <w:uiPriority w:val="99"/>
    <w:pPr>
      <w:tabs>
        <w:tab w:val="center" w:pos="4677" w:leader="none"/>
        <w:tab w:val="right" w:pos="9355" w:leader="none"/>
      </w:tabs>
    </w:pPr>
    <w:rPr>
      <w:rFonts w:ascii="Times New Roman CYR" w:hAnsi="Times New Roman CYR"/>
      <w:sz w:val="20"/>
      <w:szCs w:val="20"/>
    </w:rPr>
  </w:style>
  <w:style w:type="character" w:styleId="1041" w:customStyle="1">
    <w:name w:val="Верхний колонтитул Знак"/>
    <w:basedOn w:val="1031"/>
    <w:link w:val="1040"/>
    <w:uiPriority w:val="99"/>
    <w:rPr>
      <w:rFonts w:ascii="Times New Roman CYR" w:hAnsi="Times New Roman CYR" w:eastAsia="Times New Roman" w:cs="Times New Roman"/>
      <w:sz w:val="20"/>
      <w:szCs w:val="20"/>
    </w:rPr>
  </w:style>
  <w:style w:type="character" w:styleId="1042">
    <w:name w:val="page number"/>
    <w:basedOn w:val="1031"/>
  </w:style>
  <w:style w:type="paragraph" w:styleId="1043">
    <w:name w:val="Footer"/>
    <w:basedOn w:val="1028"/>
    <w:link w:val="1044"/>
    <w:pPr>
      <w:tabs>
        <w:tab w:val="center" w:pos="4677" w:leader="none"/>
        <w:tab w:val="right" w:pos="9355" w:leader="none"/>
      </w:tabs>
    </w:pPr>
  </w:style>
  <w:style w:type="character" w:styleId="1044" w:customStyle="1">
    <w:name w:val="Нижний колонтитул Знак"/>
    <w:basedOn w:val="1031"/>
    <w:link w:val="1043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45">
    <w:name w:val="Body Text Indent 3"/>
    <w:basedOn w:val="1028"/>
    <w:link w:val="1046"/>
    <w:pPr>
      <w:ind w:left="283"/>
      <w:spacing w:after="120"/>
    </w:pPr>
    <w:rPr>
      <w:sz w:val="16"/>
      <w:szCs w:val="16"/>
    </w:rPr>
  </w:style>
  <w:style w:type="character" w:styleId="1046" w:customStyle="1">
    <w:name w:val="Основной текст с отступом 3 Знак"/>
    <w:basedOn w:val="1031"/>
    <w:link w:val="1045"/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047">
    <w:name w:val="List Paragraph"/>
    <w:basedOn w:val="1028"/>
    <w:link w:val="1048"/>
    <w:uiPriority w:val="34"/>
    <w:qFormat/>
    <w:pPr>
      <w:ind w:left="708"/>
    </w:pPr>
  </w:style>
  <w:style w:type="character" w:styleId="1048" w:customStyle="1">
    <w:name w:val="Абзац списка Знак"/>
    <w:link w:val="1047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49" w:customStyle="1">
    <w:name w:val="notice-number3"/>
  </w:style>
  <w:style w:type="paragraph" w:styleId="1050" w:customStyle="1">
    <w:name w:val="P-Style"/>
    <w:basedOn w:val="1028"/>
    <w:pPr>
      <w:spacing w:after="95" w:line="276" w:lineRule="auto"/>
    </w:pPr>
  </w:style>
  <w:style w:type="paragraph" w:styleId="1051" w:customStyle="1">
    <w:name w:val="Default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1052" w:customStyle="1">
    <w:name w:val="Times 12"/>
    <w:basedOn w:val="1028"/>
    <w:pPr>
      <w:ind w:firstLine="567"/>
      <w:jc w:val="both"/>
    </w:pPr>
    <w:rPr>
      <w:szCs w:val="20"/>
    </w:rPr>
  </w:style>
  <w:style w:type="paragraph" w:styleId="1053">
    <w:name w:val="Balloon Text"/>
    <w:basedOn w:val="1028"/>
    <w:link w:val="1054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1054" w:customStyle="1">
    <w:name w:val="Текст выноски Знак"/>
    <w:basedOn w:val="1031"/>
    <w:link w:val="1053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character" w:styleId="1055" w:customStyle="1">
    <w:name w:val="Заголовок 3 Знак"/>
    <w:basedOn w:val="1031"/>
    <w:link w:val="1030"/>
    <w:uiPriority w:val="9"/>
    <w:semiHidden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paragraph" w:styleId="1056" w:customStyle="1">
    <w:name w:val="Основной текст с отступом"/>
    <w:pPr>
      <w:contextualSpacing w:val="0"/>
      <w:ind w:left="567" w:right="0" w:firstLine="0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hyperlink" Target="http://www.rts-tender.ru" TargetMode="External"/><Relationship Id="rId16" Type="http://schemas.openxmlformats.org/officeDocument/2006/relationships/hyperlink" Target="http://www.zakupki.gov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2E50C-B091-4DF3-BCED-13AF2AFA9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Ермакова Оксана Абдул-Ганиевна</dc:creator>
  <cp:revision>95</cp:revision>
  <dcterms:created xsi:type="dcterms:W3CDTF">2022-07-12T06:29:00Z</dcterms:created>
  <dcterms:modified xsi:type="dcterms:W3CDTF">2025-11-13T06:44:22Z</dcterms:modified>
</cp:coreProperties>
</file>