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C7" w:rsidRPr="00A86E33" w:rsidRDefault="006E3CC7" w:rsidP="006E3CC7">
      <w:pPr>
        <w:spacing w:line="360" w:lineRule="auto"/>
        <w:jc w:val="center"/>
        <w:rPr>
          <w:rFonts w:ascii="SimSun" w:eastAsia="SimSun" w:hAnsi="SimSun"/>
          <w:b/>
          <w:bCs/>
          <w:sz w:val="32"/>
          <w:szCs w:val="32"/>
        </w:rPr>
      </w:pPr>
      <w:r w:rsidRPr="00A86E33">
        <w:rPr>
          <w:rFonts w:eastAsia="SimSun"/>
          <w:b/>
          <w:bCs/>
          <w:sz w:val="32"/>
          <w:szCs w:val="32"/>
        </w:rPr>
        <w:t>CAPM</w:t>
      </w:r>
      <w:r w:rsidRPr="00A86E33">
        <w:rPr>
          <w:rFonts w:ascii="SimSun" w:eastAsia="SimSun" w:hAnsi="SimSun" w:hint="eastAsia"/>
          <w:b/>
          <w:bCs/>
          <w:sz w:val="32"/>
          <w:szCs w:val="32"/>
        </w:rPr>
        <w:t>在</w:t>
      </w:r>
      <w:r w:rsidRPr="00A86E33">
        <w:rPr>
          <w:rFonts w:eastAsia="SimSun"/>
          <w:b/>
          <w:bCs/>
          <w:sz w:val="32"/>
          <w:szCs w:val="32"/>
        </w:rPr>
        <w:t>A</w:t>
      </w:r>
      <w:r w:rsidRPr="00A86E33">
        <w:rPr>
          <w:rFonts w:ascii="SimSun" w:eastAsia="SimSun" w:hAnsi="SimSun" w:hint="eastAsia"/>
          <w:b/>
          <w:bCs/>
          <w:sz w:val="32"/>
          <w:szCs w:val="32"/>
        </w:rPr>
        <w:t>股市场有效性与小市值公司收益探究</w:t>
      </w:r>
    </w:p>
    <w:p w:rsidR="006E3CC7" w:rsidRDefault="006E3CC7" w:rsidP="006E3CC7">
      <w:pPr>
        <w:spacing w:line="360" w:lineRule="auto"/>
        <w:jc w:val="center"/>
        <w:rPr>
          <w:rFonts w:ascii="SimSun" w:eastAsia="SimSun" w:hAnsi="SimSun"/>
        </w:rPr>
      </w:pPr>
      <w:r>
        <w:rPr>
          <w:rFonts w:ascii="SimSun" w:eastAsia="SimSun" w:hAnsi="SimSun" w:hint="eastAsia"/>
        </w:rPr>
        <w:t xml:space="preserve">张迪 </w:t>
      </w:r>
      <w:r>
        <w:rPr>
          <w:rFonts w:ascii="SimSun" w:eastAsia="SimSun" w:hAnsi="SimSun"/>
        </w:rPr>
        <w:t>118020518</w:t>
      </w:r>
      <w:r>
        <w:rPr>
          <w:rFonts w:ascii="SimSun" w:eastAsia="SimSun" w:hAnsi="SimSun" w:hint="eastAsia"/>
        </w:rPr>
        <w:t xml:space="preserve">；曹艺朦 </w:t>
      </w:r>
      <w:r>
        <w:rPr>
          <w:rFonts w:ascii="SimSun" w:eastAsia="SimSun" w:hAnsi="SimSun"/>
        </w:rPr>
        <w:t>116010008</w:t>
      </w:r>
    </w:p>
    <w:p w:rsidR="006E3CC7" w:rsidRPr="006E3CC7" w:rsidRDefault="006E3CC7" w:rsidP="006E3CC7">
      <w:pPr>
        <w:spacing w:line="360" w:lineRule="auto"/>
        <w:jc w:val="center"/>
        <w:rPr>
          <w:rFonts w:eastAsia="SimSun"/>
        </w:rPr>
      </w:pPr>
      <w:r w:rsidRPr="006E3CC7">
        <w:rPr>
          <w:rFonts w:eastAsia="SimSun"/>
        </w:rPr>
        <w:t>FIN 3080 Project2</w:t>
      </w:r>
    </w:p>
    <w:p w:rsidR="00AE7FBD" w:rsidRDefault="00AE7FBD" w:rsidP="006E3CC7">
      <w:pPr>
        <w:spacing w:line="360" w:lineRule="auto"/>
        <w:rPr>
          <w:rFonts w:ascii="SimSun" w:eastAsia="SimSun" w:hAnsi="SimSun"/>
        </w:rPr>
      </w:pPr>
    </w:p>
    <w:p w:rsidR="006E3CC7" w:rsidRDefault="006E3CC7" w:rsidP="006E3CC7">
      <w:pPr>
        <w:spacing w:line="360" w:lineRule="auto"/>
        <w:rPr>
          <w:rFonts w:ascii="SimSun" w:eastAsia="SimSun" w:hAnsi="SimSun"/>
        </w:rPr>
      </w:pPr>
      <w:r w:rsidRPr="00260272">
        <w:rPr>
          <w:rFonts w:ascii="SimSun" w:eastAsia="SimSun" w:hAnsi="SimSun" w:hint="eastAsia"/>
          <w:b/>
          <w:bCs/>
        </w:rPr>
        <w:t>摘要</w:t>
      </w:r>
      <w:r>
        <w:rPr>
          <w:rFonts w:ascii="SimSun" w:eastAsia="SimSun" w:hAnsi="SimSun" w:hint="eastAsia"/>
        </w:rPr>
        <w:t>：本文首先通过对比</w:t>
      </w:r>
      <w:r w:rsidR="00082E9E">
        <w:rPr>
          <w:rFonts w:ascii="SimSun" w:eastAsia="SimSun" w:hAnsi="SimSun" w:hint="eastAsia"/>
        </w:rPr>
        <w:t>2</w:t>
      </w:r>
      <w:r w:rsidR="00082E9E">
        <w:rPr>
          <w:rFonts w:ascii="SimSun" w:eastAsia="SimSun" w:hAnsi="SimSun"/>
        </w:rPr>
        <w:t>016</w:t>
      </w:r>
      <w:r w:rsidR="00082E9E">
        <w:rPr>
          <w:rFonts w:ascii="SimSun" w:eastAsia="SimSun" w:hAnsi="SimSun" w:hint="eastAsia"/>
        </w:rPr>
        <w:t>年</w:t>
      </w:r>
      <w:r w:rsidR="00082E9E" w:rsidRPr="00082E9E">
        <w:rPr>
          <w:rFonts w:ascii="SimSun" w:eastAsia="SimSun" w:hAnsi="SimSun" w:hint="eastAsia"/>
        </w:rPr>
        <w:t>1月</w:t>
      </w:r>
      <w:r w:rsidR="00082E9E">
        <w:rPr>
          <w:rFonts w:ascii="SimSun" w:eastAsia="SimSun" w:hAnsi="SimSun"/>
        </w:rPr>
        <w:t>4</w:t>
      </w:r>
      <w:r w:rsidR="00082E9E" w:rsidRPr="00082E9E">
        <w:rPr>
          <w:rFonts w:ascii="SimSun" w:eastAsia="SimSun" w:hAnsi="SimSun" w:hint="eastAsia"/>
        </w:rPr>
        <w:t>日至2019年1</w:t>
      </w:r>
      <w:r w:rsidR="00082E9E">
        <w:rPr>
          <w:rFonts w:ascii="SimSun" w:eastAsia="SimSun" w:hAnsi="SimSun"/>
        </w:rPr>
        <w:t>2</w:t>
      </w:r>
      <w:r w:rsidR="00082E9E" w:rsidRPr="00082E9E">
        <w:rPr>
          <w:rFonts w:ascii="SimSun" w:eastAsia="SimSun" w:hAnsi="SimSun" w:hint="eastAsia"/>
        </w:rPr>
        <w:t>月27日</w:t>
      </w:r>
      <w:r w:rsidR="00DB55FB">
        <w:rPr>
          <w:rFonts w:ascii="SimSun" w:eastAsia="SimSun" w:hAnsi="SimSun" w:hint="eastAsia"/>
        </w:rPr>
        <w:t>深圳和上海主板（包括中小板）的</w:t>
      </w:r>
      <w:r w:rsidR="005D2F17">
        <w:rPr>
          <w:rFonts w:ascii="SimSun" w:eastAsia="SimSun" w:hAnsi="SimSun" w:hint="eastAsia"/>
        </w:rPr>
        <w:t>共3</w:t>
      </w:r>
      <w:r w:rsidR="005D2F17">
        <w:rPr>
          <w:rFonts w:ascii="SimSun" w:eastAsia="SimSun" w:hAnsi="SimSun"/>
        </w:rPr>
        <w:t>012</w:t>
      </w:r>
      <w:r w:rsidR="005D2F17">
        <w:rPr>
          <w:rFonts w:ascii="SimSun" w:eastAsia="SimSun" w:hAnsi="SimSun" w:hint="eastAsia"/>
        </w:rPr>
        <w:t>只</w:t>
      </w:r>
      <w:r w:rsidR="00DB55FB">
        <w:rPr>
          <w:rFonts w:ascii="SimSun" w:eastAsia="SimSun" w:hAnsi="SimSun" w:hint="eastAsia"/>
        </w:rPr>
        <w:t>股票周回报率</w:t>
      </w:r>
      <w:r w:rsidR="005D32F7">
        <w:rPr>
          <w:rFonts w:ascii="SimSun" w:eastAsia="SimSun" w:hAnsi="SimSun" w:hint="eastAsia"/>
        </w:rPr>
        <w:t>和</w:t>
      </w:r>
      <w:r w:rsidR="005D32F7" w:rsidRPr="005D32F7">
        <w:rPr>
          <w:rFonts w:eastAsia="SimSun"/>
        </w:rPr>
        <w:t>A</w:t>
      </w:r>
      <w:r w:rsidR="005D32F7">
        <w:rPr>
          <w:rFonts w:ascii="SimSun" w:eastAsia="SimSun" w:hAnsi="SimSun" w:hint="eastAsia"/>
        </w:rPr>
        <w:t>股综合市场周回报率</w:t>
      </w:r>
      <w:r w:rsidR="00DB55FB">
        <w:rPr>
          <w:rFonts w:ascii="SimSun" w:eastAsia="SimSun" w:hAnsi="SimSun" w:hint="eastAsia"/>
        </w:rPr>
        <w:t>，分别进行个股时间序列回归分析，投资组合时间序列分析和组合横截面回归分析进行</w:t>
      </w:r>
      <w:r w:rsidR="00DB55FB" w:rsidRPr="00DB55FB">
        <w:rPr>
          <w:rFonts w:eastAsia="SimSun"/>
        </w:rPr>
        <w:t>CAPM</w:t>
      </w:r>
      <w:r w:rsidR="00DB55FB">
        <w:rPr>
          <w:rFonts w:ascii="SimSun" w:eastAsia="SimSun" w:hAnsi="SimSun" w:hint="eastAsia"/>
        </w:rPr>
        <w:t>检验。</w:t>
      </w:r>
      <w:r w:rsidR="005D32F7">
        <w:rPr>
          <w:rFonts w:ascii="SimSun" w:eastAsia="SimSun" w:hAnsi="SimSun" w:hint="eastAsia"/>
        </w:rPr>
        <w:t>发现对于</w:t>
      </w:r>
      <w:r w:rsidR="00AE7FBD" w:rsidRPr="00AE7FBD">
        <w:rPr>
          <w:rFonts w:eastAsia="SimSun"/>
        </w:rPr>
        <w:t>CAPM</w:t>
      </w:r>
      <w:r w:rsidR="00AE7FBD">
        <w:rPr>
          <w:rFonts w:ascii="SimSun" w:eastAsia="SimSun" w:hAnsi="SimSun" w:hint="eastAsia"/>
        </w:rPr>
        <w:t>在中国</w:t>
      </w:r>
      <w:r w:rsidR="00AE7FBD" w:rsidRPr="00AE7FBD">
        <w:rPr>
          <w:rFonts w:eastAsia="SimSun"/>
        </w:rPr>
        <w:t>A</w:t>
      </w:r>
      <w:r w:rsidR="00AE7FBD">
        <w:rPr>
          <w:rFonts w:ascii="SimSun" w:eastAsia="SimSun" w:hAnsi="SimSun" w:hint="eastAsia"/>
        </w:rPr>
        <w:t>股市场具有有效性表现，但是同时股票收益仍受其他风险因素影响。</w:t>
      </w:r>
    </w:p>
    <w:p w:rsidR="00921A4E" w:rsidRDefault="00921A4E" w:rsidP="006E3CC7">
      <w:pPr>
        <w:spacing w:line="360" w:lineRule="auto"/>
        <w:rPr>
          <w:rFonts w:ascii="SimSun" w:eastAsia="SimSun" w:hAnsi="SimSun"/>
        </w:rPr>
      </w:pPr>
    </w:p>
    <w:p w:rsidR="00921A4E" w:rsidRPr="00921A4E" w:rsidRDefault="00921A4E" w:rsidP="00921A4E">
      <w:pPr>
        <w:spacing w:line="360" w:lineRule="auto"/>
        <w:jc w:val="center"/>
        <w:rPr>
          <w:rFonts w:ascii="SimSun" w:eastAsia="SimSun" w:hAnsi="SimSun"/>
          <w:b/>
          <w:bCs/>
          <w:sz w:val="28"/>
          <w:szCs w:val="28"/>
        </w:rPr>
      </w:pPr>
      <w:r w:rsidRPr="00921A4E">
        <w:rPr>
          <w:rFonts w:ascii="SimSun" w:eastAsia="SimSun" w:hAnsi="SimSun" w:hint="eastAsia"/>
          <w:b/>
          <w:bCs/>
          <w:sz w:val="28"/>
          <w:szCs w:val="28"/>
        </w:rPr>
        <w:t>一、引言</w:t>
      </w:r>
    </w:p>
    <w:p w:rsidR="00A90C74" w:rsidRDefault="00921A4E" w:rsidP="006E3CC7">
      <w:pPr>
        <w:spacing w:line="360" w:lineRule="auto"/>
        <w:rPr>
          <w:rFonts w:eastAsia="SimSun"/>
        </w:rPr>
      </w:pPr>
      <w:r w:rsidRPr="00921A4E">
        <w:rPr>
          <w:rFonts w:eastAsia="SimSun"/>
        </w:rPr>
        <w:t>CAMP</w:t>
      </w:r>
      <w:r>
        <w:rPr>
          <w:rFonts w:ascii="SimSun" w:eastAsia="SimSun" w:hAnsi="SimSun" w:hint="eastAsia"/>
        </w:rPr>
        <w:t>是</w:t>
      </w:r>
      <w:r w:rsidRPr="00921A4E">
        <w:rPr>
          <w:rFonts w:ascii="SimSun" w:eastAsia="SimSun" w:hAnsi="SimSun" w:hint="eastAsia"/>
        </w:rPr>
        <w:t>1964年</w:t>
      </w:r>
      <w:r>
        <w:rPr>
          <w:rFonts w:ascii="SimSun" w:eastAsia="SimSun" w:hAnsi="SimSun" w:hint="eastAsia"/>
        </w:rPr>
        <w:t>由</w:t>
      </w:r>
      <w:r w:rsidRPr="00921A4E">
        <w:rPr>
          <w:rFonts w:eastAsia="SimSun"/>
        </w:rPr>
        <w:t>Sharpe</w:t>
      </w:r>
      <w:r w:rsidR="00A1470A">
        <w:rPr>
          <w:rFonts w:eastAsia="SimSun"/>
        </w:rPr>
        <w:t xml:space="preserve"> </w:t>
      </w:r>
      <w:r w:rsidRPr="00921A4E">
        <w:rPr>
          <w:rFonts w:eastAsia="SimSun"/>
        </w:rPr>
        <w:t>(1964)</w:t>
      </w:r>
      <w:r w:rsidRPr="00921A4E">
        <w:rPr>
          <w:rFonts w:eastAsia="SimSun"/>
        </w:rPr>
        <w:t>，</w:t>
      </w:r>
      <w:r w:rsidRPr="00921A4E">
        <w:rPr>
          <w:rFonts w:eastAsia="SimSun"/>
        </w:rPr>
        <w:t>Lintner</w:t>
      </w:r>
      <w:r w:rsidR="00A1470A">
        <w:rPr>
          <w:rFonts w:eastAsia="SimSun"/>
        </w:rPr>
        <w:t xml:space="preserve"> </w:t>
      </w:r>
      <w:r w:rsidRPr="00921A4E">
        <w:rPr>
          <w:rFonts w:eastAsia="SimSun"/>
        </w:rPr>
        <w:t>(1965)</w:t>
      </w:r>
      <w:r w:rsidR="00A1470A">
        <w:rPr>
          <w:rFonts w:ascii="SimSun" w:eastAsia="SimSun" w:hAnsi="SimSun" w:hint="eastAsia"/>
        </w:rPr>
        <w:t>和</w:t>
      </w:r>
      <w:proofErr w:type="spellStart"/>
      <w:r w:rsidRPr="00921A4E">
        <w:rPr>
          <w:rFonts w:eastAsia="SimSun"/>
        </w:rPr>
        <w:t>Mossin</w:t>
      </w:r>
      <w:proofErr w:type="spellEnd"/>
      <w:r w:rsidR="00A1470A">
        <w:rPr>
          <w:rFonts w:eastAsia="SimSun"/>
        </w:rPr>
        <w:t xml:space="preserve"> </w:t>
      </w:r>
      <w:r w:rsidRPr="00921A4E">
        <w:rPr>
          <w:rFonts w:eastAsia="SimSun"/>
        </w:rPr>
        <w:t>(1966)</w:t>
      </w:r>
      <w:r w:rsidRPr="00921A4E">
        <w:rPr>
          <w:rFonts w:ascii="SimSun" w:eastAsia="SimSun" w:hAnsi="SimSun" w:hint="eastAsia"/>
        </w:rPr>
        <w:t>提出</w:t>
      </w:r>
      <w:r>
        <w:rPr>
          <w:rFonts w:ascii="SimSun" w:eastAsia="SimSun" w:hAnsi="SimSun" w:hint="eastAsia"/>
        </w:rPr>
        <w:t>的</w:t>
      </w:r>
      <w:r w:rsidRPr="00921A4E">
        <w:rPr>
          <w:rFonts w:ascii="SimSun" w:eastAsia="SimSun" w:hAnsi="SimSun" w:hint="eastAsia"/>
        </w:rPr>
        <w:t>资本资产定价模型</w:t>
      </w:r>
      <w:r>
        <w:rPr>
          <w:rFonts w:ascii="SimSun" w:eastAsia="SimSun" w:hAnsi="SimSun" w:hint="eastAsia"/>
        </w:rPr>
        <w:t>，</w:t>
      </w:r>
      <w:r w:rsidR="001E732B">
        <w:rPr>
          <w:rFonts w:eastAsia="SimSun" w:hint="eastAsia"/>
        </w:rPr>
        <w:t>事实上，许多研究学者针对</w:t>
      </w:r>
      <w:r w:rsidR="001E732B" w:rsidRPr="00A1470A">
        <w:rPr>
          <w:rFonts w:eastAsia="SimSun"/>
        </w:rPr>
        <w:t>CAPM</w:t>
      </w:r>
      <w:r w:rsidR="001E732B">
        <w:rPr>
          <w:rFonts w:eastAsia="SimSun" w:hint="eastAsia"/>
        </w:rPr>
        <w:t>进行了探究，并产生了一些分歧。</w:t>
      </w:r>
      <w:r w:rsidR="00A1470A" w:rsidRPr="00A1470A">
        <w:rPr>
          <w:rFonts w:eastAsia="SimSun"/>
        </w:rPr>
        <w:t>CAPM</w:t>
      </w:r>
      <w:r w:rsidR="00A1470A" w:rsidRPr="00A1470A">
        <w:rPr>
          <w:rFonts w:ascii="SimSun" w:eastAsia="SimSun" w:hAnsi="SimSun" w:hint="eastAsia"/>
        </w:rPr>
        <w:t>认为投资者是基于均值-方差模型来进行投资的选择</w:t>
      </w:r>
      <w:r w:rsidR="00A1470A">
        <w:rPr>
          <w:rFonts w:ascii="SimSun" w:eastAsia="SimSun" w:hAnsi="SimSun" w:hint="eastAsia"/>
        </w:rPr>
        <w:t>，</w:t>
      </w:r>
      <w:r>
        <w:rPr>
          <w:rFonts w:ascii="SimSun" w:eastAsia="SimSun" w:hAnsi="SimSun" w:hint="eastAsia"/>
        </w:rPr>
        <w:t>市场上单支股票和</w:t>
      </w:r>
      <m:oMath>
        <m:r>
          <m:rPr>
            <m:sty m:val="p"/>
          </m:rPr>
          <w:rPr>
            <w:rFonts w:ascii="Cambria Math" w:eastAsia="SimSun" w:hAnsi="Cambria Math"/>
          </w:rPr>
          <m:t>β</m:t>
        </m:r>
        <m:r>
          <m:rPr>
            <m:sty m:val="p"/>
          </m:rPr>
          <w:rPr>
            <w:rFonts w:ascii="Cambria Math" w:eastAsia="SimSun" w:hAnsi="Cambria Math"/>
          </w:rPr>
          <m:t xml:space="preserve"> </m:t>
        </m:r>
      </m:oMath>
      <w:r w:rsidR="00CB1F51">
        <w:rPr>
          <w:rFonts w:ascii="SimSun" w:eastAsia="SimSun" w:hAnsi="SimSun" w:hint="eastAsia"/>
        </w:rPr>
        <w:t>之间存在正相关关系</w:t>
      </w:r>
      <w:r w:rsidR="00A1470A">
        <w:rPr>
          <w:rFonts w:ascii="SimSun" w:eastAsia="SimSun" w:hAnsi="SimSun" w:hint="eastAsia"/>
        </w:rPr>
        <w:t>。</w:t>
      </w:r>
      <w:r w:rsidR="00B97755" w:rsidRPr="00B97755">
        <w:rPr>
          <w:rFonts w:eastAsia="SimSun"/>
        </w:rPr>
        <w:t>CAPM</w:t>
      </w:r>
      <w:r w:rsidR="00B97755" w:rsidRPr="00B97755">
        <w:rPr>
          <w:rFonts w:ascii="SimSun" w:eastAsia="SimSun" w:hAnsi="SimSun" w:hint="eastAsia"/>
        </w:rPr>
        <w:t>将资产收益与市场组合收益间的协方差同市场组合收益方差间的比值定义为该资产的系统风险</w:t>
      </w:r>
      <w:r w:rsidR="00B97755">
        <w:rPr>
          <w:rFonts w:ascii="SimSun" w:eastAsia="SimSun" w:hAnsi="SimSun" w:hint="eastAsia"/>
        </w:rPr>
        <w:t>，</w:t>
      </w:r>
      <m:oMath>
        <m:r>
          <m:rPr>
            <m:sty m:val="p"/>
          </m:rPr>
          <w:rPr>
            <w:rFonts w:ascii="Cambria Math" w:eastAsia="SimSun" w:hAnsi="Cambria Math"/>
          </w:rPr>
          <m:t xml:space="preserve">β </m:t>
        </m:r>
      </m:oMath>
      <w:r w:rsidR="00B97755" w:rsidRPr="00B97755">
        <w:rPr>
          <w:rFonts w:ascii="SimSun" w:eastAsia="SimSun" w:hAnsi="SimSun" w:hint="eastAsia"/>
        </w:rPr>
        <w:t>表示系统风险</w:t>
      </w:r>
      <w:r w:rsidR="00B97755">
        <w:rPr>
          <w:rFonts w:ascii="SimSun" w:eastAsia="SimSun" w:hAnsi="SimSun" w:hint="eastAsia"/>
        </w:rPr>
        <w:t>，</w:t>
      </w:r>
      <w:r w:rsidR="00B97755" w:rsidRPr="00B97755">
        <w:rPr>
          <w:rFonts w:ascii="SimSun" w:eastAsia="SimSun" w:hAnsi="SimSun" w:hint="eastAsia"/>
        </w:rPr>
        <w:t>是资产</w:t>
      </w:r>
      <w:proofErr w:type="spellStart"/>
      <w:r w:rsidR="00B97755" w:rsidRPr="00B97755">
        <w:rPr>
          <w:rFonts w:ascii="SimSun" w:eastAsia="SimSun" w:hAnsi="SimSun" w:hint="eastAsia"/>
        </w:rPr>
        <w:t>i</w:t>
      </w:r>
      <w:proofErr w:type="spellEnd"/>
      <w:r w:rsidR="00B97755" w:rsidRPr="00B97755">
        <w:rPr>
          <w:rFonts w:ascii="SimSun" w:eastAsia="SimSun" w:hAnsi="SimSun" w:hint="eastAsia"/>
        </w:rPr>
        <w:t>与市场组合收益间的协方差</w:t>
      </w:r>
      <w:r w:rsidR="00B97755">
        <w:rPr>
          <w:rFonts w:ascii="SimSun" w:eastAsia="SimSun" w:hAnsi="SimSun" w:hint="eastAsia"/>
        </w:rPr>
        <w:t>。</w:t>
      </w:r>
      <w:r w:rsidR="00AA324A" w:rsidRPr="00A1470A">
        <w:rPr>
          <w:rFonts w:eastAsia="SimSun"/>
        </w:rPr>
        <w:t>CAPM</w:t>
      </w:r>
      <w:r w:rsidR="00AA324A">
        <w:rPr>
          <w:rFonts w:eastAsia="SimSun" w:hint="eastAsia"/>
        </w:rPr>
        <w:t>常被认为是衡量市场有效性的重要指标。</w:t>
      </w:r>
      <w:r w:rsidR="00A90C74">
        <w:rPr>
          <w:rFonts w:eastAsia="SimSun" w:hint="eastAsia"/>
        </w:rPr>
        <w:t>而中国</w:t>
      </w:r>
      <w:r w:rsidR="00A90C74">
        <w:rPr>
          <w:rFonts w:eastAsia="SimSun" w:hint="eastAsia"/>
        </w:rPr>
        <w:t>A</w:t>
      </w:r>
      <w:r w:rsidR="00A90C74">
        <w:rPr>
          <w:rFonts w:eastAsia="SimSun" w:hint="eastAsia"/>
        </w:rPr>
        <w:t>股市场作为全球市场中的新兴市场，其市场有效性常被质疑，</w:t>
      </w:r>
      <w:r w:rsidR="001E732B">
        <w:rPr>
          <w:rFonts w:eastAsia="SimSun" w:hint="eastAsia"/>
        </w:rPr>
        <w:t>由于市场上存在较为明显的投机行为和游资坐庄行为，</w:t>
      </w:r>
      <w:r w:rsidR="001E732B">
        <w:rPr>
          <w:rFonts w:eastAsia="SimSun" w:hint="eastAsia"/>
        </w:rPr>
        <w:t>A</w:t>
      </w:r>
      <w:r w:rsidR="001E732B">
        <w:rPr>
          <w:rFonts w:eastAsia="SimSun" w:hint="eastAsia"/>
        </w:rPr>
        <w:t>股市场被</w:t>
      </w:r>
      <w:r w:rsidR="00A90C74">
        <w:rPr>
          <w:rFonts w:eastAsia="SimSun" w:hint="eastAsia"/>
        </w:rPr>
        <w:t>认为在系统收益率以外，个股收益率同时受到其他因素影响。</w:t>
      </w:r>
      <w:r w:rsidR="001E732B">
        <w:rPr>
          <w:rFonts w:eastAsia="SimSun" w:hint="eastAsia"/>
        </w:rPr>
        <w:t>本文的第一个核心问题是探究</w:t>
      </w:r>
      <w:r w:rsidR="001E732B">
        <w:rPr>
          <w:rFonts w:eastAsia="SimSun" w:hint="eastAsia"/>
        </w:rPr>
        <w:t>A</w:t>
      </w:r>
      <w:r w:rsidR="001E732B">
        <w:rPr>
          <w:rFonts w:eastAsia="SimSun" w:hint="eastAsia"/>
        </w:rPr>
        <w:t>股市场在</w:t>
      </w:r>
      <w:r w:rsidR="001E732B">
        <w:rPr>
          <w:rFonts w:eastAsia="SimSun"/>
        </w:rPr>
        <w:t>CAPM</w:t>
      </w:r>
      <w:r w:rsidR="001E732B">
        <w:rPr>
          <w:rFonts w:eastAsia="SimSun" w:hint="eastAsia"/>
        </w:rPr>
        <w:t>假设下的有效性情况，个股及投资组合收益率是否在市场收益率以外受到其他因素影响。</w:t>
      </w:r>
    </w:p>
    <w:p w:rsidR="00CE2650" w:rsidRDefault="00CE2650" w:rsidP="006E3CC7">
      <w:pPr>
        <w:spacing w:line="360" w:lineRule="auto"/>
        <w:rPr>
          <w:rFonts w:eastAsia="SimSun"/>
        </w:rPr>
      </w:pPr>
    </w:p>
    <w:p w:rsidR="00CE2650" w:rsidRPr="00A86E33" w:rsidRDefault="00CE2650" w:rsidP="00CE2650">
      <w:pPr>
        <w:spacing w:line="360" w:lineRule="auto"/>
        <w:jc w:val="center"/>
        <w:rPr>
          <w:rFonts w:eastAsia="SimSun"/>
          <w:b/>
          <w:bCs/>
          <w:sz w:val="28"/>
          <w:szCs w:val="28"/>
        </w:rPr>
      </w:pPr>
      <w:r w:rsidRPr="00A86E33">
        <w:rPr>
          <w:rFonts w:eastAsia="SimSun" w:hint="eastAsia"/>
          <w:b/>
          <w:bCs/>
          <w:sz w:val="28"/>
          <w:szCs w:val="28"/>
        </w:rPr>
        <w:t>二、理论模型和研究假说</w:t>
      </w:r>
    </w:p>
    <w:p w:rsidR="00CE2650" w:rsidRDefault="000C0FEE" w:rsidP="006E3CC7">
      <w:pPr>
        <w:spacing w:line="360" w:lineRule="auto"/>
        <w:rPr>
          <w:rFonts w:eastAsia="SimSun"/>
        </w:rPr>
      </w:pPr>
      <w:r w:rsidRPr="000C0FEE">
        <w:rPr>
          <w:rFonts w:eastAsia="SimSun" w:hint="eastAsia"/>
        </w:rPr>
        <w:t>马科维茨</w:t>
      </w:r>
      <w:r w:rsidRPr="000C0FEE">
        <w:rPr>
          <w:rFonts w:eastAsia="SimSun" w:hint="eastAsia"/>
        </w:rPr>
        <w:t>(Markowitz</w:t>
      </w:r>
      <w:r w:rsidRPr="000C0FEE">
        <w:rPr>
          <w:rFonts w:eastAsia="SimSun" w:hint="eastAsia"/>
        </w:rPr>
        <w:t>，</w:t>
      </w:r>
      <w:r w:rsidRPr="000C0FEE">
        <w:rPr>
          <w:rFonts w:eastAsia="SimSun" w:hint="eastAsia"/>
        </w:rPr>
        <w:t>1952)</w:t>
      </w:r>
      <w:r w:rsidRPr="000C0FEE">
        <w:rPr>
          <w:rFonts w:eastAsia="SimSun" w:hint="eastAsia"/>
        </w:rPr>
        <w:t>的分散投资与效率组合投资理论第一次以严谨的数理工具为手段向人们展示了一个风险厌恶的投资者在众多风险资产中如何构建最优资产组合的方法。</w:t>
      </w:r>
      <w:r w:rsidRPr="000C0FEE">
        <w:rPr>
          <w:rFonts w:eastAsia="SimSun" w:hint="eastAsia"/>
        </w:rPr>
        <w:t>CAPM</w:t>
      </w:r>
      <w:r w:rsidRPr="000C0FEE">
        <w:rPr>
          <w:rFonts w:eastAsia="SimSun" w:hint="eastAsia"/>
        </w:rPr>
        <w:t>阐述了在投资者都采用马科维茨的理论进行投资管理的条件下市场均衡状态的形成，把资产的预期收益与预期风险之间的理论关系用一个简单的线性关系表达出来了，即认为一个资产的预期收益率与衡量该资产风险的一个尺度β值之间存在正相关关系。</w:t>
      </w:r>
    </w:p>
    <w:p w:rsidR="000C0FEE" w:rsidRPr="000C0FEE" w:rsidRDefault="000C0FEE" w:rsidP="000C0FEE">
      <w:pPr>
        <w:spacing w:line="360" w:lineRule="auto"/>
        <w:rPr>
          <w:rFonts w:eastAsia="SimSun"/>
        </w:rPr>
      </w:pPr>
      <w:r w:rsidRPr="000C0FEE">
        <w:rPr>
          <w:rFonts w:eastAsia="SimSun" w:hint="eastAsia"/>
        </w:rPr>
        <w:lastRenderedPageBreak/>
        <w:t>CAPM</w:t>
      </w:r>
      <w:r w:rsidRPr="000C0FEE">
        <w:rPr>
          <w:rFonts w:eastAsia="SimSun" w:hint="eastAsia"/>
        </w:rPr>
        <w:t>模型是建立在一系列假设的基础上的，其中主要包括：</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所有投资者均追求单期财富的期望效用最大化，并以各备选组合的期望收益和标准差为基础进行组合选择。</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所有投资者均可以无风险利率无限制地借入或贷出资金。</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所有投资者拥有同样预期，即对所有资产收益的均值、方差和协方差等，投资者均有完全相同的主观估计。</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所有资产均可被完全细分，拥有充分的流动性且没有交易成本。</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没有税金。</w:t>
      </w:r>
    </w:p>
    <w:p w:rsidR="000C0FEE" w:rsidRPr="000C0FEE" w:rsidRDefault="000C0FEE" w:rsidP="000C0FEE">
      <w:pPr>
        <w:pStyle w:val="ListParagraph"/>
        <w:numPr>
          <w:ilvl w:val="0"/>
          <w:numId w:val="1"/>
        </w:numPr>
        <w:spacing w:line="360" w:lineRule="auto"/>
        <w:rPr>
          <w:rFonts w:ascii="Times New Roman" w:eastAsia="SimSun" w:hAnsi="Times New Roman" w:cs="Times New Roman" w:hint="eastAsia"/>
          <w:sz w:val="20"/>
          <w:szCs w:val="20"/>
        </w:rPr>
      </w:pPr>
      <w:r w:rsidRPr="000C0FEE">
        <w:rPr>
          <w:rFonts w:ascii="Times New Roman" w:eastAsia="SimSun" w:hAnsi="Times New Roman" w:cs="Times New Roman" w:hint="eastAsia"/>
          <w:sz w:val="20"/>
          <w:szCs w:val="20"/>
        </w:rPr>
        <w:t>所有投资者均为价格接受者。即任何一个投资者的买卖行为都不会对股票价格产生影响。</w:t>
      </w:r>
    </w:p>
    <w:p w:rsidR="000C0FEE" w:rsidRPr="000C0FEE" w:rsidRDefault="000C0FEE" w:rsidP="000C0FEE">
      <w:pPr>
        <w:pStyle w:val="ListParagraph"/>
        <w:numPr>
          <w:ilvl w:val="0"/>
          <w:numId w:val="1"/>
        </w:numPr>
        <w:spacing w:line="360" w:lineRule="auto"/>
        <w:rPr>
          <w:rFonts w:ascii="Times New Roman" w:eastAsia="SimSun" w:hAnsi="Times New Roman" w:cs="Times New Roman"/>
          <w:sz w:val="20"/>
          <w:szCs w:val="20"/>
        </w:rPr>
      </w:pPr>
      <w:r w:rsidRPr="000C0FEE">
        <w:rPr>
          <w:rFonts w:ascii="Times New Roman" w:eastAsia="SimSun" w:hAnsi="Times New Roman" w:cs="Times New Roman" w:hint="eastAsia"/>
          <w:sz w:val="20"/>
          <w:szCs w:val="20"/>
        </w:rPr>
        <w:t>所有资产的数量是给定的和固定不变的。</w:t>
      </w:r>
    </w:p>
    <w:p w:rsidR="000C0FEE" w:rsidRDefault="000C0FEE" w:rsidP="00CB21D1">
      <w:pPr>
        <w:spacing w:line="360" w:lineRule="auto"/>
        <w:rPr>
          <w:rFonts w:ascii="SimSun" w:eastAsia="SimSun" w:hAnsi="SimSun" w:cs="Microsoft YaHei"/>
          <w:color w:val="222222"/>
          <w:shd w:val="clear" w:color="auto" w:fill="FFFFFF"/>
        </w:rPr>
      </w:pPr>
      <w:r w:rsidRPr="000C0FEE">
        <w:rPr>
          <w:rFonts w:ascii="SimSun" w:eastAsia="SimSun" w:hAnsi="SimSun" w:cs="Microsoft YaHei" w:hint="eastAsia"/>
          <w:color w:val="222222"/>
          <w:shd w:val="clear" w:color="auto" w:fill="FFFFFF"/>
        </w:rPr>
        <w:t>根据资本资产定价模型，对于一个给定的资产</w:t>
      </w:r>
      <w:proofErr w:type="spellStart"/>
      <w:r w:rsidRPr="000C0FEE">
        <w:rPr>
          <w:rFonts w:ascii="SimSun" w:eastAsia="SimSun" w:hAnsi="SimSun" w:cs="Microsoft YaHei" w:hint="eastAsia"/>
          <w:color w:val="222222"/>
          <w:shd w:val="clear" w:color="auto" w:fill="FFFFFF"/>
        </w:rPr>
        <w:t>i</w:t>
      </w:r>
      <w:proofErr w:type="spellEnd"/>
      <w:r w:rsidRPr="000C0FEE">
        <w:rPr>
          <w:rFonts w:ascii="SimSun" w:eastAsia="SimSun" w:hAnsi="SimSun" w:cs="Microsoft YaHei" w:hint="eastAsia"/>
          <w:color w:val="222222"/>
          <w:shd w:val="clear" w:color="auto" w:fill="FFFFFF"/>
        </w:rPr>
        <w:t>，它的期望收益率和市场投资组合的期望收益率之间的关系可以表示为：</w:t>
      </w:r>
    </w:p>
    <w:p w:rsidR="00CB21D1" w:rsidRPr="009F4EB2" w:rsidRDefault="00CB21D1" w:rsidP="00CB21D1">
      <w:pPr>
        <w:spacing w:line="360" w:lineRule="auto"/>
        <w:rPr>
          <w:rFonts w:ascii="SimSun" w:eastAsia="SimSun" w:hAnsi="SimSun" w:cs="Microsoft YaHei"/>
          <w:color w:val="222222"/>
          <w:sz w:val="28"/>
          <w:szCs w:val="28"/>
          <w:shd w:val="clear" w:color="auto" w:fill="FFFFFF"/>
        </w:rPr>
      </w:pPr>
      <m:oMathPara>
        <m:oMath>
          <m:r>
            <m:rPr>
              <m:sty m:val="p"/>
            </m:rPr>
            <w:rPr>
              <w:rFonts w:ascii="Cambria Math" w:eastAsia="SimSun" w:hAnsi="Cambria Math" w:cs="Microsoft YaHei"/>
              <w:color w:val="222222"/>
              <w:sz w:val="28"/>
              <w:szCs w:val="28"/>
              <w:shd w:val="clear" w:color="auto" w:fill="FFFFFF"/>
            </w:rPr>
            <m:t>E(</m:t>
          </m:r>
          <m:sSub>
            <m:sSubPr>
              <m:ctrlPr>
                <w:rPr>
                  <w:rFonts w:ascii="Cambria Math" w:eastAsia="SimSun" w:hAnsi="Cambria Math" w:cs="Microsoft YaHei"/>
                  <w:color w:val="222222"/>
                  <w:sz w:val="28"/>
                  <w:szCs w:val="28"/>
                  <w:shd w:val="clear" w:color="auto" w:fill="FFFFFF"/>
                </w:rPr>
              </m:ctrlPr>
            </m:sSubPr>
            <m:e>
              <m:r>
                <w:rPr>
                  <w:rFonts w:ascii="Cambria Math" w:eastAsia="SimSun" w:hAnsi="Cambria Math" w:cs="Microsoft YaHei"/>
                  <w:color w:val="222222"/>
                  <w:sz w:val="28"/>
                  <w:szCs w:val="28"/>
                  <w:shd w:val="clear" w:color="auto" w:fill="FFFFFF"/>
                </w:rPr>
                <m:t>r</m:t>
              </m:r>
            </m:e>
            <m:sub>
              <m:r>
                <w:rPr>
                  <w:rFonts w:ascii="Cambria Math" w:eastAsia="SimSun" w:hAnsi="Cambria Math" w:cs="Microsoft YaHei"/>
                  <w:color w:val="222222"/>
                  <w:sz w:val="28"/>
                  <w:szCs w:val="28"/>
                  <w:shd w:val="clear" w:color="auto" w:fill="FFFFFF"/>
                </w:rPr>
                <m:t>i</m:t>
              </m:r>
            </m:sub>
          </m:sSub>
          <m:r>
            <m:rPr>
              <m:sty m:val="p"/>
            </m:rPr>
            <w:rPr>
              <w:rFonts w:ascii="Cambria Math" w:eastAsia="SimSun" w:hAnsi="Cambria Math" w:cs="Microsoft YaHei"/>
              <w:color w:val="222222"/>
              <w:sz w:val="28"/>
              <w:szCs w:val="28"/>
              <w:shd w:val="clear" w:color="auto" w:fill="FFFFFF"/>
            </w:rPr>
            <m:t>)=</m:t>
          </m:r>
          <m:sSub>
            <m:sSubPr>
              <m:ctrlPr>
                <w:rPr>
                  <w:rFonts w:ascii="Cambria Math" w:eastAsia="SimSun" w:hAnsi="Cambria Math" w:cs="Microsoft YaHei"/>
                  <w:color w:val="222222"/>
                  <w:sz w:val="28"/>
                  <w:szCs w:val="28"/>
                  <w:shd w:val="clear" w:color="auto" w:fill="FFFFFF"/>
                </w:rPr>
              </m:ctrlPr>
            </m:sSubPr>
            <m:e>
              <m:r>
                <w:rPr>
                  <w:rFonts w:ascii="Cambria Math" w:eastAsia="SimSun" w:hAnsi="Cambria Math" w:cs="Microsoft YaHei"/>
                  <w:color w:val="222222"/>
                  <w:sz w:val="28"/>
                  <w:szCs w:val="28"/>
                  <w:shd w:val="clear" w:color="auto" w:fill="FFFFFF"/>
                </w:rPr>
                <m:t>r</m:t>
              </m:r>
            </m:e>
            <m:sub>
              <m:r>
                <w:rPr>
                  <w:rFonts w:ascii="Cambria Math" w:eastAsia="SimSun" w:hAnsi="Cambria Math" w:cs="Microsoft YaHei"/>
                  <w:color w:val="222222"/>
                  <w:sz w:val="28"/>
                  <w:szCs w:val="28"/>
                  <w:shd w:val="clear" w:color="auto" w:fill="FFFFFF"/>
                </w:rPr>
                <m:t>f</m:t>
              </m:r>
            </m:sub>
          </m:sSub>
          <m:r>
            <w:rPr>
              <w:rFonts w:ascii="Cambria Math" w:eastAsia="SimSun" w:hAnsi="Cambria Math" w:cs="Microsoft YaHei"/>
              <w:color w:val="222222"/>
              <w:sz w:val="28"/>
              <w:szCs w:val="28"/>
              <w:shd w:val="clear" w:color="auto" w:fill="FFFFFF"/>
            </w:rPr>
            <m:t>+</m:t>
          </m:r>
          <m:sSub>
            <m:sSubPr>
              <m:ctrlPr>
                <w:rPr>
                  <w:rFonts w:ascii="Cambria Math" w:eastAsia="SimSun" w:hAnsi="Cambria Math" w:cs="Microsoft YaHei"/>
                  <w:i/>
                  <w:color w:val="222222"/>
                  <w:sz w:val="28"/>
                  <w:szCs w:val="28"/>
                  <w:shd w:val="clear" w:color="auto" w:fill="FFFFFF"/>
                </w:rPr>
              </m:ctrlPr>
            </m:sSubPr>
            <m:e>
              <m:r>
                <w:rPr>
                  <w:rFonts w:ascii="Cambria Math" w:eastAsia="SimSun" w:hAnsi="Cambria Math" w:cs="Microsoft YaHei"/>
                  <w:color w:val="222222"/>
                  <w:sz w:val="28"/>
                  <w:szCs w:val="28"/>
                  <w:shd w:val="clear" w:color="auto" w:fill="FFFFFF"/>
                </w:rPr>
                <m:t>β</m:t>
              </m:r>
            </m:e>
            <m:sub>
              <m:r>
                <w:rPr>
                  <w:rFonts w:ascii="Cambria Math" w:eastAsia="SimSun" w:hAnsi="Cambria Math" w:cs="Microsoft YaHei"/>
                  <w:color w:val="222222"/>
                  <w:sz w:val="28"/>
                  <w:szCs w:val="28"/>
                  <w:shd w:val="clear" w:color="auto" w:fill="FFFFFF"/>
                </w:rPr>
                <m:t>im</m:t>
              </m:r>
            </m:sub>
          </m:sSub>
          <m:r>
            <w:rPr>
              <w:rFonts w:ascii="Cambria Math" w:eastAsia="SimSun" w:hAnsi="Cambria Math" w:cs="Microsoft YaHei"/>
              <w:color w:val="222222"/>
              <w:sz w:val="28"/>
              <w:szCs w:val="28"/>
              <w:shd w:val="clear" w:color="auto" w:fill="FFFFFF"/>
            </w:rPr>
            <m:t>[E(</m:t>
          </m:r>
          <m:sSub>
            <m:sSubPr>
              <m:ctrlPr>
                <w:rPr>
                  <w:rFonts w:ascii="Cambria Math" w:eastAsia="SimSun" w:hAnsi="Cambria Math" w:cs="Microsoft YaHei"/>
                  <w:i/>
                  <w:color w:val="222222"/>
                  <w:sz w:val="28"/>
                  <w:szCs w:val="28"/>
                  <w:shd w:val="clear" w:color="auto" w:fill="FFFFFF"/>
                </w:rPr>
              </m:ctrlPr>
            </m:sSubPr>
            <m:e>
              <m:r>
                <w:rPr>
                  <w:rFonts w:ascii="Cambria Math" w:eastAsia="SimSun" w:hAnsi="Cambria Math" w:cs="Microsoft YaHei"/>
                  <w:color w:val="222222"/>
                  <w:sz w:val="28"/>
                  <w:szCs w:val="28"/>
                  <w:shd w:val="clear" w:color="auto" w:fill="FFFFFF"/>
                </w:rPr>
                <m:t>r</m:t>
              </m:r>
            </m:e>
            <m:sub>
              <m:r>
                <w:rPr>
                  <w:rFonts w:ascii="Cambria Math" w:eastAsia="SimSun" w:hAnsi="Cambria Math" w:cs="Microsoft YaHei"/>
                  <w:color w:val="222222"/>
                  <w:sz w:val="28"/>
                  <w:szCs w:val="28"/>
                  <w:shd w:val="clear" w:color="auto" w:fill="FFFFFF"/>
                </w:rPr>
                <m:t>m</m:t>
              </m:r>
            </m:sub>
          </m:sSub>
          <m:r>
            <w:rPr>
              <w:rFonts w:ascii="Cambria Math" w:eastAsia="SimSun" w:hAnsi="Cambria Math" w:cs="Microsoft YaHei"/>
              <w:color w:val="222222"/>
              <w:sz w:val="28"/>
              <w:szCs w:val="28"/>
              <w:shd w:val="clear" w:color="auto" w:fill="FFFFFF"/>
            </w:rPr>
            <m:t>)-</m:t>
          </m:r>
          <m:sSub>
            <m:sSubPr>
              <m:ctrlPr>
                <w:rPr>
                  <w:rFonts w:ascii="Cambria Math" w:eastAsia="SimSun" w:hAnsi="Cambria Math" w:cs="Microsoft YaHei"/>
                  <w:i/>
                  <w:color w:val="222222"/>
                  <w:sz w:val="28"/>
                  <w:szCs w:val="28"/>
                  <w:shd w:val="clear" w:color="auto" w:fill="FFFFFF"/>
                </w:rPr>
              </m:ctrlPr>
            </m:sSubPr>
            <m:e>
              <m:r>
                <w:rPr>
                  <w:rFonts w:ascii="Cambria Math" w:eastAsia="SimSun" w:hAnsi="Cambria Math" w:cs="Microsoft YaHei"/>
                  <w:color w:val="222222"/>
                  <w:sz w:val="28"/>
                  <w:szCs w:val="28"/>
                  <w:shd w:val="clear" w:color="auto" w:fill="FFFFFF"/>
                </w:rPr>
                <m:t>r</m:t>
              </m:r>
            </m:e>
            <m:sub>
              <m:r>
                <w:rPr>
                  <w:rFonts w:ascii="Cambria Math" w:eastAsia="SimSun" w:hAnsi="Cambria Math" w:cs="Microsoft YaHei"/>
                  <w:color w:val="222222"/>
                  <w:sz w:val="28"/>
                  <w:szCs w:val="28"/>
                  <w:shd w:val="clear" w:color="auto" w:fill="FFFFFF"/>
                </w:rPr>
                <m:t>f</m:t>
              </m:r>
            </m:sub>
          </m:sSub>
          <m:r>
            <w:rPr>
              <w:rFonts w:ascii="Cambria Math" w:eastAsia="SimSun" w:hAnsi="Cambria Math" w:cs="Microsoft YaHei"/>
              <w:color w:val="222222"/>
              <w:sz w:val="28"/>
              <w:szCs w:val="28"/>
              <w:shd w:val="clear" w:color="auto" w:fill="FFFFFF"/>
            </w:rPr>
            <m:t>]</m:t>
          </m:r>
        </m:oMath>
      </m:oMathPara>
    </w:p>
    <w:p w:rsidR="000C2042" w:rsidRDefault="00C3338D" w:rsidP="000C2042">
      <w:pPr>
        <w:spacing w:line="360" w:lineRule="auto"/>
        <w:rPr>
          <w:rFonts w:ascii="SimSun" w:eastAsia="SimSun" w:hAnsi="SimSun" w:cs="Microsoft YaHei"/>
          <w:color w:val="222222"/>
          <w:shd w:val="clear" w:color="auto" w:fill="FFFFFF"/>
        </w:rPr>
      </w:pPr>
      <w:r>
        <w:rPr>
          <w:rFonts w:ascii="SimSun" w:eastAsia="SimSun" w:hAnsi="SimSun" w:cs="Microsoft YaHei" w:hint="eastAsia"/>
          <w:color w:val="222222"/>
          <w:shd w:val="clear" w:color="auto" w:fill="FFFFFF"/>
        </w:rPr>
        <w:t>其中，</w:t>
      </w:r>
    </w:p>
    <w:p w:rsidR="000C0FEE" w:rsidRPr="000C2042" w:rsidRDefault="00C3338D" w:rsidP="000C2042">
      <w:pPr>
        <w:spacing w:line="360" w:lineRule="auto"/>
        <w:jc w:val="center"/>
        <w:rPr>
          <w:rFonts w:ascii="SimSun" w:eastAsia="SimSun" w:hAnsi="SimSun" w:cs="Microsoft YaHei"/>
          <w:color w:val="222222"/>
          <w:shd w:val="clear" w:color="auto" w:fill="FFFFFF"/>
        </w:rPr>
      </w:pPr>
      <m:oMath>
        <m:r>
          <m:rPr>
            <m:sty m:val="p"/>
          </m:rPr>
          <w:rPr>
            <w:rFonts w:ascii="Cambria Math" w:eastAsia="SimSun" w:hAnsi="Cambria Math" w:cs="Microsoft YaHei"/>
            <w:color w:val="222222"/>
            <w:shd w:val="clear" w:color="auto" w:fill="FFFFFF"/>
          </w:rPr>
          <m:t>E(</m:t>
        </m:r>
        <m:sSub>
          <m:sSubPr>
            <m:ctrlPr>
              <w:rPr>
                <w:rFonts w:ascii="Cambria Math" w:eastAsia="SimSun" w:hAnsi="Cambria Math" w:cs="Microsoft YaHei"/>
                <w:color w:val="222222"/>
                <w:shd w:val="clear" w:color="auto" w:fill="FFFFFF"/>
              </w:rPr>
            </m:ctrlPr>
          </m:sSubPr>
          <m:e>
            <m:r>
              <w:rPr>
                <w:rFonts w:ascii="Cambria Math" w:eastAsia="SimSun" w:hAnsi="Cambria Math" w:cs="Microsoft YaHei"/>
                <w:color w:val="222222"/>
                <w:shd w:val="clear" w:color="auto" w:fill="FFFFFF"/>
              </w:rPr>
              <m:t>r</m:t>
            </m:r>
          </m:e>
          <m:sub>
            <m:r>
              <w:rPr>
                <w:rFonts w:ascii="Cambria Math" w:eastAsia="SimSun" w:hAnsi="Cambria Math" w:cs="Microsoft YaHei"/>
                <w:color w:val="222222"/>
                <w:shd w:val="clear" w:color="auto" w:fill="FFFFFF"/>
              </w:rPr>
              <m:t>i</m:t>
            </m:r>
          </m:sub>
        </m:sSub>
        <m:r>
          <m:rPr>
            <m:sty m:val="p"/>
          </m:rPr>
          <w:rPr>
            <w:rFonts w:ascii="Cambria Math" w:eastAsia="SimSun" w:hAnsi="Cambria Math" w:cs="Microsoft YaHei"/>
            <w:color w:val="222222"/>
            <w:shd w:val="clear" w:color="auto" w:fill="FFFFFF"/>
          </w:rPr>
          <m:t>)</m:t>
        </m:r>
      </m:oMath>
      <w:r>
        <w:rPr>
          <w:rFonts w:ascii="SimSun" w:eastAsia="SimSun" w:hAnsi="SimSun" w:hint="eastAsia"/>
          <w:color w:val="222222"/>
          <w:shd w:val="clear" w:color="auto" w:fill="FFFFFF"/>
        </w:rPr>
        <w:t>是资产</w:t>
      </w:r>
      <w:proofErr w:type="spellStart"/>
      <w:r>
        <w:rPr>
          <w:rFonts w:ascii="SimSun" w:eastAsia="SimSun" w:hAnsi="SimSun" w:hint="eastAsia"/>
          <w:color w:val="222222"/>
          <w:shd w:val="clear" w:color="auto" w:fill="FFFFFF"/>
        </w:rPr>
        <w:t>i</w:t>
      </w:r>
      <w:proofErr w:type="spellEnd"/>
      <w:r>
        <w:rPr>
          <w:rFonts w:ascii="SimSun" w:eastAsia="SimSun" w:hAnsi="SimSun" w:hint="eastAsia"/>
          <w:color w:val="222222"/>
          <w:shd w:val="clear" w:color="auto" w:fill="FFFFFF"/>
        </w:rPr>
        <w:t>的期望收益率，</w:t>
      </w:r>
      <m:oMath>
        <m:sSub>
          <m:sSubPr>
            <m:ctrlPr>
              <w:rPr>
                <w:rFonts w:ascii="Cambria Math" w:eastAsia="SimSun" w:hAnsi="Cambria Math" w:cs="Microsoft YaHei"/>
                <w:color w:val="222222"/>
                <w:shd w:val="clear" w:color="auto" w:fill="FFFFFF"/>
              </w:rPr>
            </m:ctrlPr>
          </m:sSubPr>
          <m:e>
            <m:r>
              <w:rPr>
                <w:rFonts w:ascii="Cambria Math" w:eastAsia="SimSun" w:hAnsi="Cambria Math" w:cs="Microsoft YaHei"/>
                <w:color w:val="222222"/>
                <w:shd w:val="clear" w:color="auto" w:fill="FFFFFF"/>
              </w:rPr>
              <m:t>r</m:t>
            </m:r>
          </m:e>
          <m:sub>
            <m:r>
              <w:rPr>
                <w:rFonts w:ascii="Cambria Math" w:eastAsia="SimSun" w:hAnsi="Cambria Math" w:cs="Microsoft YaHei"/>
                <w:color w:val="222222"/>
                <w:shd w:val="clear" w:color="auto" w:fill="FFFFFF"/>
              </w:rPr>
              <m:t>f</m:t>
            </m:r>
          </m:sub>
        </m:sSub>
      </m:oMath>
      <w:r>
        <w:rPr>
          <w:rFonts w:ascii="SimSun" w:eastAsia="SimSun" w:hAnsi="SimSun" w:hint="eastAsia"/>
          <w:color w:val="222222"/>
          <w:shd w:val="clear" w:color="auto" w:fill="FFFFFF"/>
        </w:rPr>
        <w:t>是无风险收益率，</w:t>
      </w:r>
      <m:oMath>
        <m:sSub>
          <m:sSubPr>
            <m:ctrlPr>
              <w:rPr>
                <w:rFonts w:ascii="Cambria Math" w:eastAsia="SimSun" w:hAnsi="Cambria Math" w:cs="Microsoft YaHei"/>
                <w:i/>
                <w:color w:val="222222"/>
                <w:shd w:val="clear" w:color="auto" w:fill="FFFFFF"/>
              </w:rPr>
            </m:ctrlPr>
          </m:sSubPr>
          <m:e>
            <m:r>
              <w:rPr>
                <w:rFonts w:ascii="Cambria Math" w:eastAsia="SimSun" w:hAnsi="Cambria Math" w:cs="Microsoft YaHei"/>
                <w:color w:val="222222"/>
                <w:shd w:val="clear" w:color="auto" w:fill="FFFFFF"/>
              </w:rPr>
              <m:t>β</m:t>
            </m:r>
          </m:e>
          <m:sub>
            <m:r>
              <w:rPr>
                <w:rFonts w:ascii="Cambria Math" w:eastAsia="SimSun" w:hAnsi="Cambria Math" w:cs="Microsoft YaHei"/>
                <w:color w:val="222222"/>
                <w:shd w:val="clear" w:color="auto" w:fill="FFFFFF"/>
              </w:rPr>
              <m:t>im</m:t>
            </m:r>
          </m:sub>
        </m:sSub>
      </m:oMath>
      <w:r>
        <w:rPr>
          <w:rFonts w:ascii="SimSun" w:eastAsia="SimSun" w:hAnsi="SimSun" w:hint="eastAsia"/>
          <w:color w:val="222222"/>
          <w:shd w:val="clear" w:color="auto" w:fill="FFFFFF"/>
        </w:rPr>
        <w:t>是资产</w:t>
      </w:r>
      <w:proofErr w:type="spellStart"/>
      <w:r>
        <w:rPr>
          <w:rFonts w:ascii="SimSun" w:eastAsia="SimSun" w:hAnsi="SimSun" w:hint="eastAsia"/>
          <w:color w:val="222222"/>
          <w:shd w:val="clear" w:color="auto" w:fill="FFFFFF"/>
        </w:rPr>
        <w:t>i</w:t>
      </w:r>
      <w:proofErr w:type="spellEnd"/>
      <w:r>
        <w:rPr>
          <w:rFonts w:ascii="SimSun" w:eastAsia="SimSun" w:hAnsi="SimSun" w:hint="eastAsia"/>
          <w:color w:val="222222"/>
          <w:shd w:val="clear" w:color="auto" w:fill="FFFFFF"/>
        </w:rPr>
        <w:t>的系统性风险系数，</w:t>
      </w:r>
      <m:oMath>
        <m:sSub>
          <m:sSubPr>
            <m:ctrlPr>
              <w:rPr>
                <w:rFonts w:ascii="Cambria Math" w:eastAsia="SimSun" w:hAnsi="Cambria Math" w:cs="Microsoft YaHei"/>
                <w:i/>
                <w:color w:val="222222"/>
                <w:sz w:val="32"/>
                <w:szCs w:val="32"/>
                <w:shd w:val="clear" w:color="auto" w:fill="FFFFFF"/>
              </w:rPr>
            </m:ctrlPr>
          </m:sSubPr>
          <m:e>
            <m:r>
              <w:rPr>
                <w:rFonts w:ascii="Cambria Math" w:eastAsia="SimSun" w:hAnsi="Cambria Math" w:cs="Microsoft YaHei"/>
                <w:color w:val="222222"/>
                <w:sz w:val="32"/>
                <w:szCs w:val="32"/>
                <w:shd w:val="clear" w:color="auto" w:fill="FFFFFF"/>
              </w:rPr>
              <m:t>β</m:t>
            </m:r>
          </m:e>
          <m:sub>
            <m:r>
              <w:rPr>
                <w:rFonts w:ascii="Cambria Math" w:eastAsia="SimSun" w:hAnsi="Cambria Math" w:cs="Microsoft YaHei"/>
                <w:color w:val="222222"/>
                <w:sz w:val="32"/>
                <w:szCs w:val="32"/>
                <w:shd w:val="clear" w:color="auto" w:fill="FFFFFF"/>
              </w:rPr>
              <m:t>im</m:t>
            </m:r>
          </m:sub>
        </m:sSub>
        <m:r>
          <m:rPr>
            <m:sty m:val="p"/>
          </m:rPr>
          <w:rPr>
            <w:rFonts w:ascii="Cambria Math" w:eastAsia="SimSun" w:hAnsi="Cambria Math"/>
            <w:color w:val="222222"/>
            <w:sz w:val="32"/>
            <w:szCs w:val="32"/>
            <w:shd w:val="clear" w:color="auto" w:fill="FFFFFF"/>
          </w:rPr>
          <m:t>=</m:t>
        </m:r>
        <m:f>
          <m:fPr>
            <m:ctrlPr>
              <w:rPr>
                <w:rFonts w:ascii="Cambria Math" w:eastAsia="SimSun" w:hAnsi="Cambria Math"/>
                <w:color w:val="222222"/>
                <w:sz w:val="32"/>
                <w:szCs w:val="32"/>
                <w:shd w:val="clear" w:color="auto" w:fill="FFFFFF"/>
              </w:rPr>
            </m:ctrlPr>
          </m:fPr>
          <m:num>
            <m:r>
              <w:rPr>
                <w:rFonts w:ascii="Cambria Math" w:eastAsia="SimSun" w:hAnsi="Cambria Math" w:hint="eastAsia"/>
                <w:color w:val="222222"/>
                <w:sz w:val="32"/>
                <w:szCs w:val="32"/>
                <w:shd w:val="clear" w:color="auto" w:fill="FFFFFF"/>
              </w:rPr>
              <m:t>Cov</m:t>
            </m:r>
            <m:r>
              <m:rPr>
                <m:sty m:val="p"/>
              </m:rPr>
              <w:rPr>
                <w:rFonts w:ascii="Cambria Math" w:eastAsia="SimSun" w:hAnsi="Cambria Math" w:hint="eastAsia"/>
                <w:color w:val="222222"/>
                <w:sz w:val="32"/>
                <w:szCs w:val="32"/>
                <w:shd w:val="clear" w:color="auto" w:fill="FFFFFF"/>
              </w:rPr>
              <m:t>(</m:t>
            </m:r>
            <m:sSub>
              <m:sSubPr>
                <m:ctrlPr>
                  <w:rPr>
                    <w:rFonts w:ascii="Cambria Math" w:eastAsia="SimSun" w:hAnsi="Cambria Math"/>
                    <w:color w:val="222222"/>
                    <w:sz w:val="32"/>
                    <w:szCs w:val="32"/>
                    <w:shd w:val="clear" w:color="auto" w:fill="FFFFFF"/>
                  </w:rPr>
                </m:ctrlPr>
              </m:sSubPr>
              <m:e>
                <m:r>
                  <w:rPr>
                    <w:rFonts w:ascii="Cambria Math" w:eastAsia="SimSun" w:hAnsi="Cambria Math"/>
                    <w:color w:val="222222"/>
                    <w:sz w:val="32"/>
                    <w:szCs w:val="32"/>
                    <w:shd w:val="clear" w:color="auto" w:fill="FFFFFF"/>
                  </w:rPr>
                  <m:t>r</m:t>
                </m:r>
              </m:e>
              <m:sub>
                <m:r>
                  <w:rPr>
                    <w:rFonts w:ascii="Cambria Math" w:eastAsia="SimSun" w:hAnsi="Cambria Math"/>
                    <w:color w:val="222222"/>
                    <w:sz w:val="32"/>
                    <w:szCs w:val="32"/>
                    <w:shd w:val="clear" w:color="auto" w:fill="FFFFFF"/>
                  </w:rPr>
                  <m:t>i,</m:t>
                </m:r>
              </m:sub>
            </m:sSub>
            <m:sSub>
              <m:sSubPr>
                <m:ctrlPr>
                  <w:rPr>
                    <w:rFonts w:ascii="Cambria Math" w:eastAsia="SimSun" w:hAnsi="Cambria Math"/>
                    <w:color w:val="222222"/>
                    <w:sz w:val="32"/>
                    <w:szCs w:val="32"/>
                    <w:shd w:val="clear" w:color="auto" w:fill="FFFFFF"/>
                  </w:rPr>
                </m:ctrlPr>
              </m:sSubPr>
              <m:e>
                <m:r>
                  <w:rPr>
                    <w:rFonts w:ascii="Cambria Math" w:eastAsia="SimSun" w:hAnsi="Cambria Math"/>
                    <w:color w:val="222222"/>
                    <w:sz w:val="32"/>
                    <w:szCs w:val="32"/>
                    <w:shd w:val="clear" w:color="auto" w:fill="FFFFFF"/>
                  </w:rPr>
                  <m:t>r</m:t>
                </m:r>
              </m:e>
              <m:sub>
                <m:r>
                  <w:rPr>
                    <w:rFonts w:ascii="Cambria Math" w:eastAsia="SimSun" w:hAnsi="Cambria Math"/>
                    <w:color w:val="222222"/>
                    <w:sz w:val="32"/>
                    <w:szCs w:val="32"/>
                    <w:shd w:val="clear" w:color="auto" w:fill="FFFFFF"/>
                  </w:rPr>
                  <m:t>m</m:t>
                </m:r>
              </m:sub>
            </m:sSub>
            <m:r>
              <m:rPr>
                <m:sty m:val="p"/>
              </m:rPr>
              <w:rPr>
                <w:rFonts w:ascii="Cambria Math" w:eastAsia="SimSun" w:hAnsi="Cambria Math"/>
                <w:color w:val="222222"/>
                <w:sz w:val="32"/>
                <w:szCs w:val="32"/>
                <w:shd w:val="clear" w:color="auto" w:fill="FFFFFF"/>
              </w:rPr>
              <m:t>)</m:t>
            </m:r>
          </m:num>
          <m:den>
            <m:r>
              <w:rPr>
                <w:rFonts w:ascii="Cambria Math" w:eastAsia="SimSun" w:hAnsi="Cambria Math"/>
                <w:color w:val="222222"/>
                <w:sz w:val="32"/>
                <w:szCs w:val="32"/>
                <w:shd w:val="clear" w:color="auto" w:fill="FFFFFF"/>
              </w:rPr>
              <m:t>Var(</m:t>
            </m:r>
            <m:sSub>
              <m:sSubPr>
                <m:ctrlPr>
                  <w:rPr>
                    <w:rFonts w:ascii="Cambria Math" w:eastAsia="SimSun" w:hAnsi="Cambria Math"/>
                    <w:i/>
                    <w:color w:val="222222"/>
                    <w:sz w:val="32"/>
                    <w:szCs w:val="32"/>
                    <w:shd w:val="clear" w:color="auto" w:fill="FFFFFF"/>
                  </w:rPr>
                </m:ctrlPr>
              </m:sSubPr>
              <m:e>
                <m:r>
                  <w:rPr>
                    <w:rFonts w:ascii="Cambria Math" w:eastAsia="SimSun" w:hAnsi="Cambria Math"/>
                    <w:color w:val="222222"/>
                    <w:sz w:val="32"/>
                    <w:szCs w:val="32"/>
                    <w:shd w:val="clear" w:color="auto" w:fill="FFFFFF"/>
                  </w:rPr>
                  <m:t>r</m:t>
                </m:r>
              </m:e>
              <m:sub>
                <m:r>
                  <w:rPr>
                    <w:rFonts w:ascii="Cambria Math" w:eastAsia="SimSun" w:hAnsi="Cambria Math"/>
                    <w:color w:val="222222"/>
                    <w:sz w:val="32"/>
                    <w:szCs w:val="32"/>
                    <w:shd w:val="clear" w:color="auto" w:fill="FFFFFF"/>
                  </w:rPr>
                  <m:t>m</m:t>
                </m:r>
              </m:sub>
            </m:sSub>
            <m:r>
              <w:rPr>
                <w:rFonts w:ascii="Cambria Math" w:eastAsia="SimSun" w:hAnsi="Cambria Math"/>
                <w:color w:val="222222"/>
                <w:sz w:val="32"/>
                <w:szCs w:val="32"/>
                <w:shd w:val="clear" w:color="auto" w:fill="FFFFFF"/>
              </w:rPr>
              <m:t>)</m:t>
            </m:r>
          </m:den>
        </m:f>
      </m:oMath>
    </w:p>
    <w:p w:rsidR="00C3338D" w:rsidRDefault="00C3338D" w:rsidP="00C3338D">
      <w:pPr>
        <w:spacing w:line="360" w:lineRule="auto"/>
        <w:rPr>
          <w:rFonts w:ascii="SimSun" w:eastAsia="SimSun" w:hAnsi="SimSun"/>
        </w:rPr>
      </w:pPr>
      <m:oMath>
        <m:r>
          <m:rPr>
            <m:sty m:val="p"/>
          </m:rPr>
          <w:rPr>
            <w:rFonts w:ascii="Cambria Math" w:eastAsia="SimSun" w:hAnsi="Cambria Math" w:cs="Microsoft YaHei"/>
            <w:color w:val="222222"/>
            <w:shd w:val="clear" w:color="auto" w:fill="FFFFFF"/>
          </w:rPr>
          <m:t>E(</m:t>
        </m:r>
        <m:sSub>
          <m:sSubPr>
            <m:ctrlPr>
              <w:rPr>
                <w:rFonts w:ascii="Cambria Math" w:eastAsia="SimSun" w:hAnsi="Cambria Math" w:cs="Microsoft YaHei"/>
                <w:color w:val="222222"/>
                <w:shd w:val="clear" w:color="auto" w:fill="FFFFFF"/>
              </w:rPr>
            </m:ctrlPr>
          </m:sSubPr>
          <m:e>
            <m:r>
              <w:rPr>
                <w:rFonts w:ascii="Cambria Math" w:eastAsia="SimSun" w:hAnsi="Cambria Math" w:cs="Microsoft YaHei"/>
                <w:color w:val="222222"/>
                <w:shd w:val="clear" w:color="auto" w:fill="FFFFFF"/>
              </w:rPr>
              <m:t>r</m:t>
            </m:r>
          </m:e>
          <m:sub>
            <m:r>
              <w:rPr>
                <w:rFonts w:ascii="Cambria Math" w:eastAsia="SimSun" w:hAnsi="Cambria Math" w:cs="Microsoft YaHei" w:hint="eastAsia"/>
                <w:color w:val="222222"/>
                <w:shd w:val="clear" w:color="auto" w:fill="FFFFFF"/>
              </w:rPr>
              <m:t>m</m:t>
            </m:r>
          </m:sub>
        </m:sSub>
        <m:r>
          <m:rPr>
            <m:sty m:val="p"/>
          </m:rPr>
          <w:rPr>
            <w:rFonts w:ascii="Cambria Math" w:eastAsia="SimSun" w:hAnsi="Cambria Math" w:cs="Microsoft YaHei"/>
            <w:color w:val="222222"/>
            <w:shd w:val="clear" w:color="auto" w:fill="FFFFFF"/>
          </w:rPr>
          <m:t>)</m:t>
        </m:r>
      </m:oMath>
      <w:r w:rsidRPr="00C3338D">
        <w:rPr>
          <w:rFonts w:ascii="SimSun" w:eastAsia="SimSun" w:hAnsi="SimSun" w:hint="eastAsia"/>
        </w:rPr>
        <w:t>是市场投资组合的期望收益率</w:t>
      </w:r>
      <w:r>
        <w:rPr>
          <w:rFonts w:ascii="SimSun" w:eastAsia="SimSun" w:hAnsi="SimSun" w:hint="eastAsia"/>
        </w:rPr>
        <w:t>，</w:t>
      </w:r>
      <m:oMath>
        <m:r>
          <w:rPr>
            <w:rFonts w:ascii="Cambria Math" w:eastAsia="SimSun" w:hAnsi="Cambria Math" w:cs="Microsoft YaHei"/>
            <w:color w:val="222222"/>
            <w:shd w:val="clear" w:color="auto" w:fill="FFFFFF"/>
          </w:rPr>
          <m:t>[E(</m:t>
        </m:r>
        <m:sSub>
          <m:sSubPr>
            <m:ctrlPr>
              <w:rPr>
                <w:rFonts w:ascii="Cambria Math" w:eastAsia="SimSun" w:hAnsi="Cambria Math" w:cs="Microsoft YaHei"/>
                <w:i/>
                <w:color w:val="222222"/>
                <w:shd w:val="clear" w:color="auto" w:fill="FFFFFF"/>
              </w:rPr>
            </m:ctrlPr>
          </m:sSubPr>
          <m:e>
            <m:r>
              <w:rPr>
                <w:rFonts w:ascii="Cambria Math" w:eastAsia="SimSun" w:hAnsi="Cambria Math" w:cs="Microsoft YaHei"/>
                <w:color w:val="222222"/>
                <w:shd w:val="clear" w:color="auto" w:fill="FFFFFF"/>
              </w:rPr>
              <m:t>r</m:t>
            </m:r>
          </m:e>
          <m:sub>
            <m:r>
              <w:rPr>
                <w:rFonts w:ascii="Cambria Math" w:eastAsia="SimSun" w:hAnsi="Cambria Math" w:cs="Microsoft YaHei"/>
                <w:color w:val="222222"/>
                <w:shd w:val="clear" w:color="auto" w:fill="FFFFFF"/>
              </w:rPr>
              <m:t>m</m:t>
            </m:r>
          </m:sub>
        </m:sSub>
        <m:r>
          <w:rPr>
            <w:rFonts w:ascii="Cambria Math" w:eastAsia="SimSun" w:hAnsi="Cambria Math" w:cs="Microsoft YaHei"/>
            <w:color w:val="222222"/>
            <w:shd w:val="clear" w:color="auto" w:fill="FFFFFF"/>
          </w:rPr>
          <m:t>)-</m:t>
        </m:r>
        <m:sSub>
          <m:sSubPr>
            <m:ctrlPr>
              <w:rPr>
                <w:rFonts w:ascii="Cambria Math" w:eastAsia="SimSun" w:hAnsi="Cambria Math" w:cs="Microsoft YaHei"/>
                <w:i/>
                <w:color w:val="222222"/>
                <w:shd w:val="clear" w:color="auto" w:fill="FFFFFF"/>
              </w:rPr>
            </m:ctrlPr>
          </m:sSubPr>
          <m:e>
            <m:r>
              <w:rPr>
                <w:rFonts w:ascii="Cambria Math" w:eastAsia="SimSun" w:hAnsi="Cambria Math" w:cs="Microsoft YaHei"/>
                <w:color w:val="222222"/>
                <w:shd w:val="clear" w:color="auto" w:fill="FFFFFF"/>
              </w:rPr>
              <m:t>r</m:t>
            </m:r>
          </m:e>
          <m:sub>
            <m:r>
              <w:rPr>
                <w:rFonts w:ascii="Cambria Math" w:eastAsia="SimSun" w:hAnsi="Cambria Math" w:cs="Microsoft YaHei"/>
                <w:color w:val="222222"/>
                <w:shd w:val="clear" w:color="auto" w:fill="FFFFFF"/>
              </w:rPr>
              <m:t>f</m:t>
            </m:r>
          </m:sub>
        </m:sSub>
        <m:r>
          <w:rPr>
            <w:rFonts w:ascii="Cambria Math" w:eastAsia="SimSun" w:hAnsi="Cambria Math" w:cs="Microsoft YaHei"/>
            <w:color w:val="222222"/>
            <w:shd w:val="clear" w:color="auto" w:fill="FFFFFF"/>
          </w:rPr>
          <m:t>]</m:t>
        </m:r>
      </m:oMath>
      <w:r w:rsidRPr="00C3338D">
        <w:rPr>
          <w:rFonts w:ascii="SimSun" w:eastAsia="SimSun" w:hAnsi="SimSun" w:hint="eastAsia"/>
        </w:rPr>
        <w:t>是市场风险溢价</w:t>
      </w:r>
      <w:r>
        <w:rPr>
          <w:rFonts w:ascii="SimSun" w:eastAsia="SimSun" w:hAnsi="SimSun" w:hint="eastAsia"/>
        </w:rPr>
        <w:t>。</w:t>
      </w:r>
    </w:p>
    <w:p w:rsidR="00290A5E" w:rsidRDefault="00290A5E" w:rsidP="00C3338D">
      <w:pPr>
        <w:spacing w:line="360" w:lineRule="auto"/>
        <w:rPr>
          <w:rFonts w:ascii="SimSun" w:eastAsia="SimSun" w:hAnsi="SimSun"/>
        </w:rPr>
      </w:pPr>
      <w:r>
        <w:rPr>
          <w:rFonts w:ascii="SimSun" w:eastAsia="SimSun" w:hAnsi="SimSun" w:hint="eastAsia"/>
        </w:rPr>
        <w:t>针对</w:t>
      </w:r>
      <w:r w:rsidR="00A17514" w:rsidRPr="00A17514">
        <w:rPr>
          <w:rFonts w:eastAsia="SimSun"/>
        </w:rPr>
        <w:t>CAPM</w:t>
      </w:r>
      <w:r w:rsidR="00A17514">
        <w:rPr>
          <w:rFonts w:ascii="SimSun" w:eastAsia="SimSun" w:hAnsi="SimSun" w:hint="eastAsia"/>
        </w:rPr>
        <w:t>的有效性探究，</w:t>
      </w:r>
      <w:r w:rsidR="008A3506">
        <w:rPr>
          <w:rFonts w:ascii="SimSun" w:eastAsia="SimSun" w:hAnsi="SimSun" w:hint="eastAsia"/>
        </w:rPr>
        <w:t>本文提出三个具体的实证检验假说：</w:t>
      </w:r>
    </w:p>
    <w:p w:rsidR="008A3506" w:rsidRPr="001E1979" w:rsidRDefault="008A3506" w:rsidP="00012B72">
      <w:pPr>
        <w:pStyle w:val="ListParagraph"/>
        <w:numPr>
          <w:ilvl w:val="0"/>
          <w:numId w:val="2"/>
        </w:numPr>
        <w:spacing w:line="360" w:lineRule="auto"/>
        <w:rPr>
          <w:rFonts w:ascii="SimSun" w:eastAsia="SimSun" w:hAnsi="SimSun" w:cs="Times New Roman"/>
        </w:rPr>
      </w:pPr>
      <w:r w:rsidRPr="001E1979">
        <w:rPr>
          <w:rFonts w:ascii="SimSun" w:eastAsia="SimSun" w:hAnsi="SimSun" w:cs="Times New Roman" w:hint="eastAsia"/>
        </w:rPr>
        <w:t>中国</w:t>
      </w:r>
      <w:r w:rsidRPr="001E1979">
        <w:rPr>
          <w:rFonts w:ascii="Times New Roman" w:eastAsia="SimSun" w:hAnsi="Times New Roman" w:cs="Times New Roman"/>
        </w:rPr>
        <w:t>A</w:t>
      </w:r>
      <w:r w:rsidRPr="001E1979">
        <w:rPr>
          <w:rFonts w:ascii="SimSun" w:eastAsia="SimSun" w:hAnsi="SimSun" w:cs="Times New Roman" w:hint="eastAsia"/>
        </w:rPr>
        <w:t>股市场</w:t>
      </w:r>
      <w:r w:rsidR="00012B72" w:rsidRPr="001E1979">
        <w:rPr>
          <w:rFonts w:ascii="SimSun" w:eastAsia="SimSun" w:hAnsi="SimSun" w:cs="Times New Roman" w:hint="eastAsia"/>
        </w:rPr>
        <w:t>符合</w:t>
      </w:r>
      <w:r w:rsidR="00012B72" w:rsidRPr="001E1979">
        <w:rPr>
          <w:rFonts w:ascii="Times New Roman" w:eastAsia="SimSun" w:hAnsi="Times New Roman" w:cs="Times New Roman"/>
        </w:rPr>
        <w:t>CAPM</w:t>
      </w:r>
      <w:r w:rsidR="00012B72" w:rsidRPr="001E1979">
        <w:rPr>
          <w:rFonts w:ascii="SimSun" w:eastAsia="SimSun" w:hAnsi="SimSun" w:cs="Times New Roman" w:hint="eastAsia"/>
        </w:rPr>
        <w:t>模型假说，个股收益率仅受市场收益率波动影响。</w:t>
      </w:r>
    </w:p>
    <w:p w:rsidR="00012B72" w:rsidRPr="001E1979" w:rsidRDefault="00012B72" w:rsidP="00012B72">
      <w:pPr>
        <w:pStyle w:val="ListParagraph"/>
        <w:numPr>
          <w:ilvl w:val="0"/>
          <w:numId w:val="2"/>
        </w:numPr>
        <w:spacing w:line="360" w:lineRule="auto"/>
        <w:rPr>
          <w:rFonts w:ascii="SimSun" w:eastAsia="SimSun" w:hAnsi="SimSun" w:cs="Times New Roman"/>
        </w:rPr>
      </w:pPr>
      <w:r w:rsidRPr="001E1979">
        <w:rPr>
          <w:rFonts w:ascii="SimSun" w:eastAsia="SimSun" w:hAnsi="SimSun" w:cs="Times New Roman" w:hint="eastAsia"/>
        </w:rPr>
        <w:t>中国</w:t>
      </w:r>
      <w:r w:rsidRPr="001E1979">
        <w:rPr>
          <w:rFonts w:ascii="Times New Roman" w:eastAsia="SimSun" w:hAnsi="Times New Roman" w:cs="Times New Roman"/>
        </w:rPr>
        <w:t>A</w:t>
      </w:r>
      <w:r w:rsidRPr="001E1979">
        <w:rPr>
          <w:rFonts w:ascii="SimSun" w:eastAsia="SimSun" w:hAnsi="SimSun" w:cs="Times New Roman" w:hint="eastAsia"/>
        </w:rPr>
        <w:t>股市场完全不符合</w:t>
      </w:r>
      <w:r w:rsidRPr="001E1979">
        <w:rPr>
          <w:rFonts w:ascii="Times New Roman" w:eastAsia="SimSun" w:hAnsi="Times New Roman" w:cs="Times New Roman"/>
        </w:rPr>
        <w:t>CAPM</w:t>
      </w:r>
      <w:r w:rsidRPr="001E1979">
        <w:rPr>
          <w:rFonts w:ascii="SimSun" w:eastAsia="SimSun" w:hAnsi="SimSun" w:cs="Times New Roman" w:hint="eastAsia"/>
        </w:rPr>
        <w:t>模型假说。</w:t>
      </w:r>
    </w:p>
    <w:p w:rsidR="00012B72" w:rsidRPr="001E1979" w:rsidRDefault="00012B72" w:rsidP="00012B72">
      <w:pPr>
        <w:pStyle w:val="ListParagraph"/>
        <w:numPr>
          <w:ilvl w:val="0"/>
          <w:numId w:val="2"/>
        </w:numPr>
        <w:spacing w:line="360" w:lineRule="auto"/>
        <w:rPr>
          <w:rFonts w:ascii="SimSun" w:eastAsia="SimSun" w:hAnsi="SimSun" w:cs="Times New Roman"/>
        </w:rPr>
      </w:pPr>
      <w:r w:rsidRPr="001E1979">
        <w:rPr>
          <w:rFonts w:ascii="SimSun" w:eastAsia="SimSun" w:hAnsi="SimSun" w:cs="Times New Roman" w:hint="eastAsia"/>
        </w:rPr>
        <w:t>中国</w:t>
      </w:r>
      <w:r w:rsidRPr="001E1979">
        <w:rPr>
          <w:rFonts w:ascii="Times New Roman" w:eastAsia="SimSun" w:hAnsi="Times New Roman" w:cs="Times New Roman"/>
        </w:rPr>
        <w:t>A</w:t>
      </w:r>
      <w:r w:rsidRPr="001E1979">
        <w:rPr>
          <w:rFonts w:ascii="SimSun" w:eastAsia="SimSun" w:hAnsi="SimSun" w:cs="Times New Roman" w:hint="eastAsia"/>
        </w:rPr>
        <w:t>股市场符合部分</w:t>
      </w:r>
      <w:r w:rsidRPr="001E1979">
        <w:rPr>
          <w:rFonts w:ascii="Times New Roman" w:eastAsia="SimSun" w:hAnsi="Times New Roman" w:cs="Times New Roman"/>
        </w:rPr>
        <w:t>CAPM</w:t>
      </w:r>
      <w:r w:rsidRPr="001E1979">
        <w:rPr>
          <w:rFonts w:ascii="SimSun" w:eastAsia="SimSun" w:hAnsi="SimSun" w:cs="Times New Roman" w:hint="eastAsia"/>
        </w:rPr>
        <w:t>模型假说，个股收益率受市场收益率波动以外同时受到 其他因素影响。</w:t>
      </w:r>
    </w:p>
    <w:p w:rsidR="00C3338D" w:rsidRDefault="00C3338D" w:rsidP="00C3338D">
      <w:pPr>
        <w:spacing w:line="360" w:lineRule="auto"/>
        <w:rPr>
          <w:rFonts w:ascii="SimSun" w:eastAsia="SimSun" w:hAnsi="SimSun"/>
        </w:rPr>
      </w:pPr>
    </w:p>
    <w:p w:rsidR="00C3338D" w:rsidRPr="00260272" w:rsidRDefault="00260272" w:rsidP="00260272">
      <w:pPr>
        <w:spacing w:line="360" w:lineRule="auto"/>
        <w:jc w:val="center"/>
        <w:rPr>
          <w:rFonts w:ascii="SimSun" w:eastAsia="SimSun" w:hAnsi="SimSun" w:cs="Microsoft YaHei"/>
          <w:b/>
          <w:bCs/>
          <w:color w:val="222222"/>
          <w:sz w:val="28"/>
          <w:szCs w:val="28"/>
          <w:shd w:val="clear" w:color="auto" w:fill="FFFFFF"/>
        </w:rPr>
      </w:pPr>
      <w:r w:rsidRPr="00260272">
        <w:rPr>
          <w:rFonts w:ascii="SimSun" w:eastAsia="SimSun" w:hAnsi="SimSun" w:cs="Microsoft YaHei" w:hint="eastAsia"/>
          <w:b/>
          <w:bCs/>
          <w:color w:val="222222"/>
          <w:sz w:val="28"/>
          <w:szCs w:val="28"/>
          <w:shd w:val="clear" w:color="auto" w:fill="FFFFFF"/>
        </w:rPr>
        <w:t>三、研究设计</w:t>
      </w:r>
    </w:p>
    <w:p w:rsidR="00260272" w:rsidRDefault="00260272" w:rsidP="00C3338D">
      <w:pPr>
        <w:spacing w:line="360" w:lineRule="auto"/>
        <w:rPr>
          <w:rFonts w:ascii="SimSun" w:eastAsia="SimSun" w:hAnsi="SimSun" w:cs="Microsoft YaHei"/>
          <w:color w:val="222222"/>
          <w:shd w:val="clear" w:color="auto" w:fill="FFFFFF"/>
        </w:rPr>
      </w:pPr>
      <w:r>
        <w:rPr>
          <w:rFonts w:ascii="SimSun" w:eastAsia="SimSun" w:hAnsi="SimSun" w:cs="Microsoft YaHei" w:hint="eastAsia"/>
          <w:color w:val="222222"/>
          <w:shd w:val="clear" w:color="auto" w:fill="FFFFFF"/>
        </w:rPr>
        <w:t>（一）研究样本选择和数据来源</w:t>
      </w:r>
    </w:p>
    <w:p w:rsidR="00D41C44" w:rsidRDefault="00260272" w:rsidP="00C3338D">
      <w:pPr>
        <w:spacing w:line="360" w:lineRule="auto"/>
        <w:rPr>
          <w:rFonts w:ascii="SimSun" w:eastAsia="SimSun" w:hAnsi="SimSun"/>
        </w:rPr>
      </w:pPr>
      <w:r>
        <w:rPr>
          <w:rFonts w:ascii="SimSun" w:eastAsia="SimSun" w:hAnsi="SimSun" w:cs="Microsoft YaHei" w:hint="eastAsia"/>
          <w:color w:val="222222"/>
          <w:shd w:val="clear" w:color="auto" w:fill="FFFFFF"/>
        </w:rPr>
        <w:t>本文采取</w:t>
      </w:r>
      <w:r w:rsidR="00F31835">
        <w:rPr>
          <w:rFonts w:ascii="SimSun" w:eastAsia="SimSun" w:hAnsi="SimSun" w:hint="eastAsia"/>
        </w:rPr>
        <w:t>2</w:t>
      </w:r>
      <w:r w:rsidR="00F31835">
        <w:rPr>
          <w:rFonts w:ascii="SimSun" w:eastAsia="SimSun" w:hAnsi="SimSun"/>
        </w:rPr>
        <w:t>016</w:t>
      </w:r>
      <w:r w:rsidR="00F31835">
        <w:rPr>
          <w:rFonts w:ascii="SimSun" w:eastAsia="SimSun" w:hAnsi="SimSun" w:hint="eastAsia"/>
        </w:rPr>
        <w:t>年</w:t>
      </w:r>
      <w:r w:rsidR="00F31835" w:rsidRPr="00082E9E">
        <w:rPr>
          <w:rFonts w:ascii="SimSun" w:eastAsia="SimSun" w:hAnsi="SimSun" w:hint="eastAsia"/>
        </w:rPr>
        <w:t>1月</w:t>
      </w:r>
      <w:r w:rsidR="00F31835">
        <w:rPr>
          <w:rFonts w:ascii="SimSun" w:eastAsia="SimSun" w:hAnsi="SimSun"/>
        </w:rPr>
        <w:t>4</w:t>
      </w:r>
      <w:r w:rsidR="00F31835" w:rsidRPr="00082E9E">
        <w:rPr>
          <w:rFonts w:ascii="SimSun" w:eastAsia="SimSun" w:hAnsi="SimSun" w:hint="eastAsia"/>
        </w:rPr>
        <w:t>日至2019年1</w:t>
      </w:r>
      <w:r w:rsidR="00F31835">
        <w:rPr>
          <w:rFonts w:ascii="SimSun" w:eastAsia="SimSun" w:hAnsi="SimSun"/>
        </w:rPr>
        <w:t>2</w:t>
      </w:r>
      <w:r w:rsidR="00F31835" w:rsidRPr="00082E9E">
        <w:rPr>
          <w:rFonts w:ascii="SimSun" w:eastAsia="SimSun" w:hAnsi="SimSun" w:hint="eastAsia"/>
        </w:rPr>
        <w:t>月27日</w:t>
      </w:r>
      <w:r w:rsidR="00F31835">
        <w:rPr>
          <w:rFonts w:ascii="SimSun" w:eastAsia="SimSun" w:hAnsi="SimSun" w:hint="eastAsia"/>
        </w:rPr>
        <w:t>深圳和上海主板（包括中小板）的共3</w:t>
      </w:r>
      <w:r w:rsidR="00F31835">
        <w:rPr>
          <w:rFonts w:ascii="SimSun" w:eastAsia="SimSun" w:hAnsi="SimSun"/>
        </w:rPr>
        <w:t>012</w:t>
      </w:r>
      <w:r w:rsidR="00F31835">
        <w:rPr>
          <w:rFonts w:ascii="SimSun" w:eastAsia="SimSun" w:hAnsi="SimSun" w:hint="eastAsia"/>
        </w:rPr>
        <w:t>只股票周回报率和</w:t>
      </w:r>
      <w:r w:rsidR="00F31835" w:rsidRPr="005D32F7">
        <w:rPr>
          <w:rFonts w:eastAsia="SimSun"/>
        </w:rPr>
        <w:t>A</w:t>
      </w:r>
      <w:r w:rsidR="00F31835">
        <w:rPr>
          <w:rFonts w:ascii="SimSun" w:eastAsia="SimSun" w:hAnsi="SimSun" w:hint="eastAsia"/>
        </w:rPr>
        <w:t>股综合市场周回报率</w:t>
      </w:r>
      <w:r w:rsidR="000301C4">
        <w:rPr>
          <w:rFonts w:ascii="SimSun" w:eastAsia="SimSun" w:hAnsi="SimSun" w:hint="eastAsia"/>
        </w:rPr>
        <w:t>，以及同期的中国国债收益率进行研究。其中股票选用同期的非</w:t>
      </w:r>
      <w:r w:rsidR="000301C4" w:rsidRPr="000301C4">
        <w:rPr>
          <w:rFonts w:eastAsia="SimSun"/>
        </w:rPr>
        <w:t>ST</w:t>
      </w:r>
      <w:r w:rsidR="000301C4">
        <w:rPr>
          <w:rFonts w:ascii="SimSun" w:eastAsia="SimSun" w:hAnsi="SimSun" w:hint="eastAsia"/>
        </w:rPr>
        <w:t>股票以避免</w:t>
      </w:r>
      <w:r w:rsidR="00924300">
        <w:rPr>
          <w:rFonts w:ascii="SimSun" w:eastAsia="SimSun" w:hAnsi="SimSun" w:hint="eastAsia"/>
        </w:rPr>
        <w:t>数据噪音对研究结果的影响</w:t>
      </w:r>
      <w:r w:rsidR="00A04196">
        <w:rPr>
          <w:rFonts w:ascii="SimSun" w:eastAsia="SimSun" w:hAnsi="SimSun" w:hint="eastAsia"/>
        </w:rPr>
        <w:t>，以国债收益率作为无风险利率</w:t>
      </w:r>
      <w:r w:rsidR="00924300">
        <w:rPr>
          <w:rFonts w:ascii="SimSun" w:eastAsia="SimSun" w:hAnsi="SimSun" w:hint="eastAsia"/>
        </w:rPr>
        <w:t>，本文的股票数据，市场回报率数据和国债收益率数据来源于</w:t>
      </w:r>
      <w:r w:rsidR="00924300" w:rsidRPr="00924300">
        <w:rPr>
          <w:rFonts w:eastAsia="SimSun"/>
        </w:rPr>
        <w:t>CSMAR</w:t>
      </w:r>
      <w:r w:rsidR="00924300">
        <w:rPr>
          <w:rFonts w:ascii="SimSun" w:eastAsia="SimSun" w:hAnsi="SimSun" w:hint="eastAsia"/>
        </w:rPr>
        <w:t>金融研究数据库</w:t>
      </w:r>
      <w:r w:rsidR="00BC2D6D">
        <w:rPr>
          <w:rFonts w:ascii="SimSun" w:eastAsia="SimSun" w:hAnsi="SimSun" w:hint="eastAsia"/>
        </w:rPr>
        <w:t>。其中将研究时间分为三个阶段，第一个阶段为2</w:t>
      </w:r>
      <w:r w:rsidR="00BC2D6D">
        <w:rPr>
          <w:rFonts w:ascii="SimSun" w:eastAsia="SimSun" w:hAnsi="SimSun"/>
        </w:rPr>
        <w:t>016</w:t>
      </w:r>
      <w:r w:rsidR="00BC2D6D">
        <w:rPr>
          <w:rFonts w:ascii="SimSun" w:eastAsia="SimSun" w:hAnsi="SimSun" w:hint="eastAsia"/>
        </w:rPr>
        <w:t>年初始</w:t>
      </w:r>
    </w:p>
    <w:p w:rsidR="00924300" w:rsidRDefault="00BC2D6D" w:rsidP="00C3338D">
      <w:pPr>
        <w:spacing w:line="360" w:lineRule="auto"/>
        <w:rPr>
          <w:rFonts w:ascii="SimSun" w:eastAsia="SimSun" w:hAnsi="SimSun" w:hint="eastAsia"/>
        </w:rPr>
      </w:pPr>
      <w:r>
        <w:rPr>
          <w:rFonts w:ascii="SimSun" w:eastAsia="SimSun" w:hAnsi="SimSun" w:hint="eastAsia"/>
        </w:rPr>
        <w:lastRenderedPageBreak/>
        <w:t>至2</w:t>
      </w:r>
      <w:r>
        <w:rPr>
          <w:rFonts w:ascii="SimSun" w:eastAsia="SimSun" w:hAnsi="SimSun"/>
        </w:rPr>
        <w:t>017</w:t>
      </w:r>
      <w:r>
        <w:rPr>
          <w:rFonts w:ascii="SimSun" w:eastAsia="SimSun" w:hAnsi="SimSun" w:hint="eastAsia"/>
        </w:rPr>
        <w:t>年第2</w:t>
      </w:r>
      <w:r>
        <w:rPr>
          <w:rFonts w:ascii="SimSun" w:eastAsia="SimSun" w:hAnsi="SimSun"/>
        </w:rPr>
        <w:t>5</w:t>
      </w:r>
      <w:r>
        <w:rPr>
          <w:rFonts w:ascii="SimSun" w:eastAsia="SimSun" w:hAnsi="SimSun" w:hint="eastAsia"/>
        </w:rPr>
        <w:t>周</w:t>
      </w:r>
      <w:r w:rsidR="000C2042">
        <w:rPr>
          <w:rFonts w:ascii="SimSun" w:eastAsia="SimSun" w:hAnsi="SimSun" w:hint="eastAsia"/>
        </w:rPr>
        <w:t>，探究个股时间序列回归分析</w:t>
      </w:r>
      <w:r>
        <w:rPr>
          <w:rFonts w:ascii="SimSun" w:eastAsia="SimSun" w:hAnsi="SimSun" w:hint="eastAsia"/>
        </w:rPr>
        <w:t>，第二个阶段为2</w:t>
      </w:r>
      <w:r>
        <w:rPr>
          <w:rFonts w:ascii="SimSun" w:eastAsia="SimSun" w:hAnsi="SimSun"/>
        </w:rPr>
        <w:t>017</w:t>
      </w:r>
      <w:r>
        <w:rPr>
          <w:rFonts w:ascii="SimSun" w:eastAsia="SimSun" w:hAnsi="SimSun" w:hint="eastAsia"/>
        </w:rPr>
        <w:t>年第2</w:t>
      </w:r>
      <w:r>
        <w:rPr>
          <w:rFonts w:ascii="SimSun" w:eastAsia="SimSun" w:hAnsi="SimSun"/>
        </w:rPr>
        <w:t>5</w:t>
      </w:r>
      <w:r>
        <w:rPr>
          <w:rFonts w:ascii="SimSun" w:eastAsia="SimSun" w:hAnsi="SimSun" w:hint="eastAsia"/>
        </w:rPr>
        <w:t>周</w:t>
      </w:r>
      <w:r w:rsidR="000C2042">
        <w:rPr>
          <w:rFonts w:ascii="SimSun" w:eastAsia="SimSun" w:hAnsi="SimSun" w:hint="eastAsia"/>
        </w:rPr>
        <w:t>至2</w:t>
      </w:r>
      <w:r w:rsidR="000C2042">
        <w:rPr>
          <w:rFonts w:ascii="SimSun" w:eastAsia="SimSun" w:hAnsi="SimSun"/>
        </w:rPr>
        <w:t>018</w:t>
      </w:r>
      <w:r w:rsidR="000C2042">
        <w:rPr>
          <w:rFonts w:ascii="SimSun" w:eastAsia="SimSun" w:hAnsi="SimSun" w:hint="eastAsia"/>
        </w:rPr>
        <w:t>年第3</w:t>
      </w:r>
      <w:r w:rsidR="000C2042">
        <w:rPr>
          <w:rFonts w:ascii="SimSun" w:eastAsia="SimSun" w:hAnsi="SimSun"/>
        </w:rPr>
        <w:t>9</w:t>
      </w:r>
      <w:r w:rsidR="000C2042">
        <w:rPr>
          <w:rFonts w:ascii="SimSun" w:eastAsia="SimSun" w:hAnsi="SimSun" w:hint="eastAsia"/>
        </w:rPr>
        <w:t>周，将第一个阶段的个股按照系统性风险系数排序，每1</w:t>
      </w:r>
      <w:r w:rsidR="000C2042">
        <w:rPr>
          <w:rFonts w:ascii="SimSun" w:eastAsia="SimSun" w:hAnsi="SimSun"/>
        </w:rPr>
        <w:t>2</w:t>
      </w:r>
      <w:r w:rsidR="000C2042">
        <w:rPr>
          <w:rFonts w:ascii="SimSun" w:eastAsia="SimSun" w:hAnsi="SimSun" w:hint="eastAsia"/>
        </w:rPr>
        <w:t>个股票构建一个投资组合，共2</w:t>
      </w:r>
      <w:r w:rsidR="000C2042">
        <w:rPr>
          <w:rFonts w:ascii="SimSun" w:eastAsia="SimSun" w:hAnsi="SimSun"/>
        </w:rPr>
        <w:t>51</w:t>
      </w:r>
      <w:r w:rsidR="000C2042">
        <w:rPr>
          <w:rFonts w:ascii="SimSun" w:eastAsia="SimSun" w:hAnsi="SimSun" w:hint="eastAsia"/>
        </w:rPr>
        <w:t>组，进行针对投资组合的时间序列回归分析，第三个阶段为2</w:t>
      </w:r>
      <w:r w:rsidR="000C2042">
        <w:rPr>
          <w:rFonts w:ascii="SimSun" w:eastAsia="SimSun" w:hAnsi="SimSun"/>
        </w:rPr>
        <w:t>018</w:t>
      </w:r>
      <w:r w:rsidR="000C2042">
        <w:rPr>
          <w:rFonts w:ascii="SimSun" w:eastAsia="SimSun" w:hAnsi="SimSun" w:hint="eastAsia"/>
        </w:rPr>
        <w:t>年第3</w:t>
      </w:r>
      <w:r w:rsidR="000C2042">
        <w:rPr>
          <w:rFonts w:ascii="SimSun" w:eastAsia="SimSun" w:hAnsi="SimSun"/>
        </w:rPr>
        <w:t>9</w:t>
      </w:r>
      <w:r w:rsidR="000C2042">
        <w:rPr>
          <w:rFonts w:ascii="SimSun" w:eastAsia="SimSun" w:hAnsi="SimSun" w:hint="eastAsia"/>
        </w:rPr>
        <w:t>周至2</w:t>
      </w:r>
      <w:r w:rsidR="000C2042">
        <w:rPr>
          <w:rFonts w:ascii="SimSun" w:eastAsia="SimSun" w:hAnsi="SimSun"/>
        </w:rPr>
        <w:t>019</w:t>
      </w:r>
      <w:r w:rsidR="000C2042">
        <w:rPr>
          <w:rFonts w:ascii="SimSun" w:eastAsia="SimSun" w:hAnsi="SimSun" w:hint="eastAsia"/>
        </w:rPr>
        <w:t>年最后一周，将第二个时期的投资组合汇总其在第三个阶段的横截面平均收益和系统性风险系数并进行横截面回归分析。</w:t>
      </w:r>
    </w:p>
    <w:p w:rsidR="00924300" w:rsidRDefault="00924300" w:rsidP="00C3338D">
      <w:pPr>
        <w:spacing w:line="360" w:lineRule="auto"/>
        <w:rPr>
          <w:rFonts w:ascii="SimSun" w:eastAsia="SimSun" w:hAnsi="SimSun" w:hint="eastAsia"/>
        </w:rPr>
      </w:pPr>
      <w:r>
        <w:rPr>
          <w:rFonts w:ascii="SimSun" w:eastAsia="SimSun" w:hAnsi="SimSun" w:hint="eastAsia"/>
        </w:rPr>
        <w:t>（二）变量定义</w:t>
      </w:r>
    </w:p>
    <w:p w:rsidR="009F4EB2" w:rsidRDefault="00924300" w:rsidP="00C3338D">
      <w:pPr>
        <w:spacing w:line="360" w:lineRule="auto"/>
        <w:rPr>
          <w:rFonts w:ascii="SimSun" w:eastAsia="SimSun" w:hAnsi="SimSun"/>
        </w:rPr>
      </w:pPr>
      <w:r>
        <w:rPr>
          <w:rFonts w:ascii="SimSun" w:eastAsia="SimSun" w:hAnsi="SimSun" w:hint="eastAsia"/>
        </w:rPr>
        <w:t>股票周收益率为考虑了股票红利再投资的收益率。其表现为单位周期结束阶段时使用收得股息购买收盘价时股票并继续持有。</w:t>
      </w:r>
      <w:r w:rsidRPr="00924300">
        <w:rPr>
          <w:rFonts w:ascii="SimSun" w:eastAsia="SimSun" w:hAnsi="SimSun" w:hint="eastAsia"/>
        </w:rPr>
        <w:t>使用</w:t>
      </w:r>
      <w:r>
        <w:rPr>
          <w:rFonts w:eastAsia="SimSun" w:hint="eastAsia"/>
        </w:rPr>
        <w:t>C</w:t>
      </w:r>
      <w:r>
        <w:rPr>
          <w:rFonts w:eastAsia="SimSun"/>
        </w:rPr>
        <w:t>SMAR</w:t>
      </w:r>
      <w:r w:rsidRPr="00924300">
        <w:rPr>
          <w:rFonts w:ascii="SimSun" w:eastAsia="SimSun" w:hAnsi="SimSun" w:hint="eastAsia"/>
        </w:rPr>
        <w:t>数据库中的“考虑现金红利再投资的日个股回报率”</w:t>
      </w:r>
      <w:r>
        <w:rPr>
          <w:rFonts w:ascii="SimSun" w:eastAsia="SimSun" w:hAnsi="SimSun" w:hint="eastAsia"/>
        </w:rPr>
        <w:t>。</w:t>
      </w:r>
      <w:r w:rsidRPr="005D32F7">
        <w:rPr>
          <w:rFonts w:eastAsia="SimSun"/>
        </w:rPr>
        <w:t xml:space="preserve"> A</w:t>
      </w:r>
      <w:r>
        <w:rPr>
          <w:rFonts w:ascii="SimSun" w:eastAsia="SimSun" w:hAnsi="SimSun" w:hint="eastAsia"/>
        </w:rPr>
        <w:t>股综合市场周回报率同时考虑了上海主板，深圳主板和中小板的综合收益率，采取各个主板的收益率通过加权平均得到综合市场收益率。</w:t>
      </w:r>
    </w:p>
    <w:p w:rsidR="009F4EB2" w:rsidRPr="00742039" w:rsidRDefault="009F4EB2" w:rsidP="00C3338D">
      <w:pPr>
        <w:spacing w:line="360" w:lineRule="auto"/>
        <w:rPr>
          <w:rFonts w:ascii="SimSun" w:eastAsia="SimSun" w:hAnsi="SimSun"/>
        </w:rPr>
      </w:pPr>
      <m:oMathPara>
        <m:oMath>
          <m:sSub>
            <m:sSubPr>
              <m:ctrlPr>
                <w:rPr>
                  <w:rFonts w:ascii="Cambria Math" w:eastAsia="SimSun" w:hAnsi="Cambria Math" w:cstheme="minorBidi"/>
                </w:rPr>
              </m:ctrlPr>
            </m:sSubPr>
            <m:e>
              <m:r>
                <w:rPr>
                  <w:rFonts w:ascii="Cambria Math" w:eastAsia="SimSun" w:hAnsi="Cambria Math"/>
                </w:rPr>
                <m:t>R</m:t>
              </m:r>
            </m:e>
            <m:sub>
              <m:r>
                <w:rPr>
                  <w:rFonts w:ascii="Cambria Math" w:eastAsia="SimSun" w:hAnsi="Cambria Math"/>
                </w:rPr>
                <m:t>m</m:t>
              </m:r>
            </m:sub>
          </m:sSub>
          <m:r>
            <w:rPr>
              <w:rFonts w:ascii="Cambria Math" w:eastAsia="SimSun" w:hAnsi="Cambria Math"/>
            </w:rPr>
            <m:t>=</m:t>
          </m:r>
          <m:nary>
            <m:naryPr>
              <m:chr m:val="∑"/>
              <m:limLoc m:val="undOvr"/>
              <m:subHide m:val="1"/>
              <m:supHide m:val="1"/>
              <m:ctrlPr>
                <w:rPr>
                  <w:rFonts w:ascii="Cambria Math" w:eastAsia="SimSun" w:hAnsi="Cambria Math" w:cstheme="minorBidi"/>
                  <w:i/>
                </w:rPr>
              </m:ctrlPr>
            </m:naryPr>
            <m:sub/>
            <m:sup/>
            <m:e>
              <m:sSub>
                <m:sSubPr>
                  <m:ctrlPr>
                    <w:rPr>
                      <w:rFonts w:ascii="Cambria Math" w:eastAsia="SimSun" w:hAnsi="Cambria Math" w:cstheme="minorBidi"/>
                      <w:i/>
                    </w:rPr>
                  </m:ctrlPr>
                </m:sSubPr>
                <m:e>
                  <m:r>
                    <w:rPr>
                      <w:rFonts w:ascii="Cambria Math" w:eastAsia="SimSun" w:hAnsi="Cambria Math"/>
                    </w:rPr>
                    <m:t>W</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R</m:t>
                  </m:r>
                </m:e>
                <m:sub>
                  <m:r>
                    <w:rPr>
                      <w:rFonts w:ascii="Cambria Math" w:eastAsia="SimSun" w:hAnsi="Cambria Math"/>
                    </w:rPr>
                    <m:t>i</m:t>
                  </m:r>
                </m:sub>
              </m:sSub>
            </m:e>
          </m:nary>
        </m:oMath>
      </m:oMathPara>
    </w:p>
    <w:p w:rsidR="00924300" w:rsidRDefault="00924300" w:rsidP="00C3338D">
      <w:pPr>
        <w:spacing w:line="360" w:lineRule="auto"/>
        <w:rPr>
          <w:rFonts w:ascii="SimSun" w:eastAsia="SimSun" w:hAnsi="SimSun"/>
        </w:rPr>
      </w:pPr>
      <w:r>
        <w:rPr>
          <w:rFonts w:ascii="SimSun" w:eastAsia="SimSun" w:hAnsi="SimSun" w:hint="eastAsia"/>
        </w:rPr>
        <w:t>对于国债收益率，按照每周为一个单位周期，计算其中的平均收益率作为周收益率进行研究。</w:t>
      </w:r>
    </w:p>
    <w:p w:rsidR="009F4EB2" w:rsidRDefault="009F4EB2" w:rsidP="00C3338D">
      <w:pPr>
        <w:spacing w:line="360" w:lineRule="auto"/>
        <w:rPr>
          <w:rFonts w:ascii="SimSun" w:eastAsia="SimSun" w:hAnsi="SimSun"/>
        </w:rPr>
      </w:pPr>
      <w:r>
        <w:rPr>
          <w:rFonts w:ascii="SimSun" w:eastAsia="SimSun" w:hAnsi="SimSun" w:hint="eastAsia"/>
        </w:rPr>
        <w:t>（三）统计结果表示</w:t>
      </w:r>
    </w:p>
    <w:p w:rsidR="009F4EB2" w:rsidRDefault="009F4EB2" w:rsidP="00C3338D">
      <w:pPr>
        <w:spacing w:line="360" w:lineRule="auto"/>
        <w:rPr>
          <w:rFonts w:ascii="SimSun" w:eastAsia="SimSun" w:hAnsi="SimSun"/>
        </w:rPr>
      </w:pPr>
      <w:r>
        <w:rPr>
          <w:rFonts w:ascii="SimSun" w:eastAsia="SimSun" w:hAnsi="SimSun" w:hint="eastAsia"/>
        </w:rPr>
        <w:t>针对个股时间序列分析，投资组合时间序列分析，横截面回归分析，均使用回归检验后的</w:t>
      </w:r>
      <w:r w:rsidR="00A04196">
        <w:rPr>
          <w:rFonts w:ascii="SimSun" w:eastAsia="SimSun" w:hAnsi="SimSun" w:hint="eastAsia"/>
        </w:rPr>
        <w:t>回归值，对应的t值及对应的显著性，以及回归分析得到的</w:t>
      </w:r>
      <w:r w:rsidR="00A04196" w:rsidRPr="00A04196">
        <w:rPr>
          <w:rFonts w:eastAsia="SimSun"/>
        </w:rPr>
        <w:t>R-squared</w:t>
      </w:r>
      <w:r w:rsidR="00A04196">
        <w:rPr>
          <w:rFonts w:ascii="SimSun" w:eastAsia="SimSun" w:hAnsi="SimSun" w:hint="eastAsia"/>
        </w:rPr>
        <w:t>值进行回归结果描述。</w:t>
      </w:r>
    </w:p>
    <w:p w:rsidR="00A04196" w:rsidRDefault="00A04196" w:rsidP="00C3338D">
      <w:pPr>
        <w:spacing w:line="360" w:lineRule="auto"/>
        <w:rPr>
          <w:rFonts w:ascii="SimSun" w:eastAsia="SimSun" w:hAnsi="SimSun"/>
        </w:rPr>
      </w:pPr>
    </w:p>
    <w:p w:rsidR="00A04196" w:rsidRPr="00A04196" w:rsidRDefault="00A04196" w:rsidP="00A04196">
      <w:pPr>
        <w:spacing w:line="360" w:lineRule="auto"/>
        <w:jc w:val="center"/>
        <w:rPr>
          <w:rFonts w:ascii="SimSun" w:eastAsia="SimSun" w:hAnsi="SimSun"/>
          <w:b/>
          <w:bCs/>
          <w:sz w:val="28"/>
          <w:szCs w:val="28"/>
        </w:rPr>
      </w:pPr>
      <w:r w:rsidRPr="00A04196">
        <w:rPr>
          <w:rFonts w:ascii="SimSun" w:eastAsia="SimSun" w:hAnsi="SimSun" w:hint="eastAsia"/>
          <w:b/>
          <w:bCs/>
          <w:sz w:val="28"/>
          <w:szCs w:val="28"/>
        </w:rPr>
        <w:t>四、实证结果与分析</w:t>
      </w:r>
    </w:p>
    <w:p w:rsidR="00A04196" w:rsidRDefault="00A04196" w:rsidP="00C3338D">
      <w:pPr>
        <w:spacing w:line="360" w:lineRule="auto"/>
        <w:rPr>
          <w:rFonts w:ascii="SimSun" w:eastAsia="SimSun" w:hAnsi="SimSun"/>
        </w:rPr>
      </w:pPr>
      <w:r>
        <w:rPr>
          <w:rFonts w:ascii="SimSun" w:eastAsia="SimSun" w:hAnsi="SimSun" w:hint="eastAsia"/>
        </w:rPr>
        <w:t>（一）针对个股的时间序列回归分析</w:t>
      </w:r>
    </w:p>
    <w:p w:rsidR="00A04196" w:rsidRDefault="00A04196" w:rsidP="00C3338D">
      <w:pPr>
        <w:spacing w:line="360" w:lineRule="auto"/>
        <w:rPr>
          <w:rFonts w:ascii="SimSun" w:eastAsia="SimSun" w:hAnsi="SimSun"/>
        </w:rPr>
      </w:pPr>
      <w:r>
        <w:rPr>
          <w:rFonts w:ascii="SimSun" w:eastAsia="SimSun" w:hAnsi="SimSun" w:hint="eastAsia"/>
        </w:rPr>
        <w:t>我们将总计3</w:t>
      </w:r>
      <w:r>
        <w:rPr>
          <w:rFonts w:ascii="SimSun" w:eastAsia="SimSun" w:hAnsi="SimSun"/>
        </w:rPr>
        <w:t>012</w:t>
      </w:r>
      <w:r>
        <w:rPr>
          <w:rFonts w:ascii="SimSun" w:eastAsia="SimSun" w:hAnsi="SimSun" w:hint="eastAsia"/>
        </w:rPr>
        <w:t>只股票周收益率减去针对对应时期的市场风险溢价结合</w:t>
      </w:r>
      <w:r w:rsidRPr="00A04196">
        <w:rPr>
          <w:rFonts w:eastAsia="SimSun"/>
        </w:rPr>
        <w:t>CAPM</w:t>
      </w:r>
      <w:r>
        <w:rPr>
          <w:rFonts w:ascii="SimSun" w:eastAsia="SimSun" w:hAnsi="SimSun" w:hint="eastAsia"/>
        </w:rPr>
        <w:t>进行时间序列分析，采用的模型为：</w:t>
      </w:r>
    </w:p>
    <w:p w:rsidR="00A04196" w:rsidRPr="00A04196" w:rsidRDefault="00A04196" w:rsidP="00C3338D">
      <w:pPr>
        <w:spacing w:line="360" w:lineRule="auto"/>
        <w:rPr>
          <w:rFonts w:ascii="SimSun" w:eastAsia="SimSun" w:hAnsi="SimSun"/>
        </w:rPr>
      </w:pPr>
      <m:oMathPara>
        <m:oMath>
          <m:sSub>
            <m:sSubPr>
              <m:ctrlPr>
                <w:rPr>
                  <w:rFonts w:ascii="Cambria Math" w:eastAsia="SimSun" w:hAnsi="Cambria Math" w:cstheme="minorBidi"/>
                </w:rPr>
              </m:ctrlPr>
            </m:sSubPr>
            <m:e>
              <m:r>
                <w:rPr>
                  <w:rFonts w:ascii="Cambria Math" w:eastAsia="SimSun" w:hAnsi="Cambria Math" w:hint="eastAsia"/>
                </w:rPr>
                <m:t>r</m:t>
              </m:r>
            </m:e>
            <m:sub>
              <m:r>
                <w:rPr>
                  <w:rFonts w:ascii="Cambria Math" w:eastAsia="SimSun" w:hAnsi="Cambria Math"/>
                </w:rPr>
                <m:t>i,t</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α</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β</m:t>
              </m:r>
            </m:e>
            <m:sub>
              <m:r>
                <w:rPr>
                  <w:rFonts w:ascii="Cambria Math" w:eastAsia="SimSun" w:hAnsi="Cambria Math"/>
                </w:rPr>
                <m:t>i</m:t>
              </m:r>
            </m:sub>
          </m:sSub>
          <m:sSub>
            <m:sSubPr>
              <m:ctrlPr>
                <w:rPr>
                  <w:rFonts w:ascii="Cambria Math" w:eastAsia="SimSun" w:hAnsi="Cambria Math" w:cstheme="minorBidi"/>
                  <w:i/>
                </w:rPr>
              </m:ctrlPr>
            </m:sSubPr>
            <m:e>
              <m:r>
                <w:rPr>
                  <w:rFonts w:ascii="Cambria Math" w:eastAsia="SimSun" w:hAnsi="Cambria Math"/>
                </w:rPr>
                <m:t>r</m:t>
              </m:r>
            </m:e>
            <m:sub>
              <m:r>
                <w:rPr>
                  <w:rFonts w:ascii="Cambria Math" w:eastAsia="SimSun" w:hAnsi="Cambria Math"/>
                </w:rPr>
                <m:t>m,t</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ε</m:t>
              </m:r>
            </m:e>
            <m:sub>
              <m:r>
                <w:rPr>
                  <w:rFonts w:ascii="Cambria Math" w:eastAsia="SimSun" w:hAnsi="Cambria Math"/>
                </w:rPr>
                <m:t>t</m:t>
              </m:r>
            </m:sub>
          </m:sSub>
        </m:oMath>
      </m:oMathPara>
    </w:p>
    <w:p w:rsidR="00A04196" w:rsidRDefault="00A04196" w:rsidP="00C3338D">
      <w:pPr>
        <w:spacing w:line="360" w:lineRule="auto"/>
        <w:rPr>
          <w:rFonts w:ascii="SimSun" w:eastAsia="SimSun" w:hAnsi="SimSun"/>
        </w:rPr>
      </w:pPr>
      <w:r>
        <w:rPr>
          <w:rFonts w:ascii="SimSun" w:eastAsia="SimSun" w:hAnsi="SimSun" w:hint="eastAsia"/>
        </w:rPr>
        <w:t>经过回归分析，发现</w:t>
      </w:r>
      <w:r w:rsidR="006C1E18">
        <w:rPr>
          <w:rFonts w:ascii="SimSun" w:eastAsia="SimSun" w:hAnsi="SimSun" w:hint="eastAsia"/>
        </w:rPr>
        <w:t>对应的</w:t>
      </w:r>
      <m:oMath>
        <m:sSub>
          <m:sSubPr>
            <m:ctrlPr>
              <w:rPr>
                <w:rFonts w:ascii="Cambria Math" w:eastAsia="SimSun" w:hAnsi="Cambria Math" w:cstheme="minorBidi"/>
                <w:i/>
              </w:rPr>
            </m:ctrlPr>
          </m:sSubPr>
          <m:e>
            <m:r>
              <w:rPr>
                <w:rFonts w:ascii="Cambria Math" w:eastAsia="SimSun" w:hAnsi="Cambria Math"/>
              </w:rPr>
              <m:t>α</m:t>
            </m:r>
          </m:e>
          <m:sub>
            <m:r>
              <w:rPr>
                <w:rFonts w:ascii="Cambria Math" w:eastAsia="SimSun" w:hAnsi="Cambria Math"/>
              </w:rPr>
              <m:t>i</m:t>
            </m:r>
          </m:sub>
        </m:sSub>
      </m:oMath>
      <w:r w:rsidR="006C1E18">
        <w:rPr>
          <w:rFonts w:ascii="SimSun" w:eastAsia="SimSun" w:hAnsi="SimSun" w:hint="eastAsia"/>
        </w:rPr>
        <w:t>最小为</w:t>
      </w:r>
      <w:r w:rsidR="006C1E18" w:rsidRPr="006C1E18">
        <w:rPr>
          <w:rFonts w:ascii="SimSun" w:eastAsia="SimSun" w:hAnsi="SimSun"/>
        </w:rPr>
        <w:t>-0.136633</w:t>
      </w:r>
      <w:r w:rsidR="006C1E18">
        <w:rPr>
          <w:rFonts w:ascii="SimSun" w:eastAsia="SimSun" w:hAnsi="SimSun" w:hint="eastAsia"/>
        </w:rPr>
        <w:t>，最大为</w:t>
      </w:r>
      <w:r w:rsidR="006C1E18" w:rsidRPr="006C1E18">
        <w:rPr>
          <w:rFonts w:ascii="SimSun" w:eastAsia="SimSun" w:hAnsi="SimSun"/>
        </w:rPr>
        <w:t>0.336039</w:t>
      </w:r>
      <w:r w:rsidR="006C1E18">
        <w:rPr>
          <w:rFonts w:ascii="SimSun" w:eastAsia="SimSun" w:hAnsi="SimSun" w:hint="eastAsia"/>
        </w:rPr>
        <w:t>，而其显著性中，有3</w:t>
      </w:r>
      <w:r w:rsidR="006C1E18">
        <w:rPr>
          <w:rFonts w:ascii="SimSun" w:eastAsia="SimSun" w:hAnsi="SimSun"/>
        </w:rPr>
        <w:t>82</w:t>
      </w:r>
      <w:r w:rsidR="006C1E18">
        <w:rPr>
          <w:rFonts w:ascii="SimSun" w:eastAsia="SimSun" w:hAnsi="SimSun" w:hint="eastAsia"/>
        </w:rPr>
        <w:t>支股票的显著性指标</w:t>
      </w:r>
      <w:r w:rsidR="006C1E18" w:rsidRPr="006C1E18">
        <w:rPr>
          <w:rFonts w:eastAsia="SimSun"/>
        </w:rPr>
        <w:t>P-value</w:t>
      </w:r>
      <w:r w:rsidR="006C1E18">
        <w:rPr>
          <w:rFonts w:ascii="SimSun" w:eastAsia="SimSun" w:hAnsi="SimSun" w:hint="eastAsia"/>
        </w:rPr>
        <w:t>小于</w:t>
      </w:r>
      <w:r w:rsidR="006C1E18">
        <w:rPr>
          <w:rFonts w:ascii="SimSun" w:eastAsia="SimSun" w:hAnsi="SimSun"/>
        </w:rPr>
        <w:t>0.05</w:t>
      </w:r>
      <w:r w:rsidR="006C1E18">
        <w:rPr>
          <w:rFonts w:ascii="SimSun" w:eastAsia="SimSun" w:hAnsi="SimSun" w:hint="eastAsia"/>
        </w:rPr>
        <w:t>，有1</w:t>
      </w:r>
      <w:r w:rsidR="006C1E18">
        <w:rPr>
          <w:rFonts w:ascii="SimSun" w:eastAsia="SimSun" w:hAnsi="SimSun"/>
        </w:rPr>
        <w:t>2.68%</w:t>
      </w:r>
      <w:r w:rsidR="006C1E18">
        <w:rPr>
          <w:rFonts w:ascii="SimSun" w:eastAsia="SimSun" w:hAnsi="SimSun" w:hint="eastAsia"/>
        </w:rPr>
        <w:t>的股票表明</w:t>
      </w:r>
      <m:oMath>
        <m:sSub>
          <m:sSubPr>
            <m:ctrlPr>
              <w:rPr>
                <w:rFonts w:ascii="Cambria Math" w:eastAsia="SimSun" w:hAnsi="Cambria Math" w:cstheme="minorBidi"/>
                <w:i/>
              </w:rPr>
            </m:ctrlPr>
          </m:sSubPr>
          <m:e>
            <m:r>
              <w:rPr>
                <w:rFonts w:ascii="Cambria Math" w:eastAsia="SimSun" w:hAnsi="Cambria Math"/>
              </w:rPr>
              <m:t>α</m:t>
            </m:r>
          </m:e>
          <m:sub>
            <m:r>
              <w:rPr>
                <w:rFonts w:ascii="Cambria Math" w:eastAsia="SimSun" w:hAnsi="Cambria Math"/>
              </w:rPr>
              <m:t>i</m:t>
            </m:r>
          </m:sub>
        </m:sSub>
      </m:oMath>
      <w:r w:rsidR="006C1E18">
        <w:rPr>
          <w:rFonts w:ascii="SimSun" w:eastAsia="SimSun" w:hAnsi="SimSun" w:hint="eastAsia"/>
        </w:rPr>
        <w:t>显著不为0，</w:t>
      </w:r>
      <w:r w:rsidR="001F1EB2">
        <w:rPr>
          <w:rFonts w:ascii="SimSun" w:eastAsia="SimSun" w:hAnsi="SimSun" w:hint="eastAsia"/>
        </w:rPr>
        <w:t>有5</w:t>
      </w:r>
      <w:r w:rsidR="001F1EB2">
        <w:rPr>
          <w:rFonts w:ascii="SimSun" w:eastAsia="SimSun" w:hAnsi="SimSun"/>
        </w:rPr>
        <w:t>0%</w:t>
      </w:r>
      <w:r w:rsidR="001F1EB2">
        <w:rPr>
          <w:rFonts w:ascii="SimSun" w:eastAsia="SimSun" w:hAnsi="SimSun" w:hint="eastAsia"/>
        </w:rPr>
        <w:t>的股票</w:t>
      </w:r>
      <w:r w:rsidR="00226324">
        <w:rPr>
          <w:rFonts w:ascii="SimSun" w:eastAsia="SimSun" w:hAnsi="SimSun" w:hint="eastAsia"/>
        </w:rPr>
        <w:t>显示</w:t>
      </w:r>
      <w:r w:rsidR="00226324" w:rsidRPr="00226324">
        <w:rPr>
          <w:rFonts w:eastAsia="SimSun"/>
        </w:rPr>
        <w:t>R-squared</w:t>
      </w:r>
      <w:r w:rsidR="00226324">
        <w:rPr>
          <w:rFonts w:ascii="SimSun" w:eastAsia="SimSun" w:hAnsi="SimSun" w:hint="eastAsia"/>
        </w:rPr>
        <w:t>小于0</w:t>
      </w:r>
      <w:r w:rsidR="00226324">
        <w:rPr>
          <w:rFonts w:ascii="SimSun" w:eastAsia="SimSun" w:hAnsi="SimSun"/>
        </w:rPr>
        <w:t>.256</w:t>
      </w:r>
      <w:r w:rsidR="00226324">
        <w:rPr>
          <w:rFonts w:ascii="SimSun" w:eastAsia="SimSun" w:hAnsi="SimSun" w:hint="eastAsia"/>
        </w:rPr>
        <w:t>，表明</w:t>
      </w:r>
      <w:r w:rsidR="006C1E18">
        <w:rPr>
          <w:rFonts w:ascii="SimSun" w:eastAsia="SimSun" w:hAnsi="SimSun" w:hint="eastAsia"/>
        </w:rPr>
        <w:t>受到系统性风险以外的其他因素的影响。</w:t>
      </w:r>
    </w:p>
    <w:p w:rsidR="006C1E18" w:rsidRDefault="006C1E18" w:rsidP="00C3338D">
      <w:pPr>
        <w:spacing w:line="360" w:lineRule="auto"/>
        <w:rPr>
          <w:rFonts w:ascii="SimSun" w:eastAsia="SimSun" w:hAnsi="SimSun"/>
        </w:rPr>
      </w:pPr>
      <w:r>
        <w:rPr>
          <w:rFonts w:ascii="SimSun" w:eastAsia="SimSun" w:hAnsi="SimSun" w:hint="eastAsia"/>
        </w:rPr>
        <w:lastRenderedPageBreak/>
        <w:t>对于</w:t>
      </w:r>
      <m:oMath>
        <m:sSub>
          <m:sSubPr>
            <m:ctrlPr>
              <w:rPr>
                <w:rFonts w:ascii="Cambria Math" w:eastAsia="SimSun" w:hAnsi="Cambria Math" w:cstheme="minorBidi"/>
                <w:i/>
              </w:rPr>
            </m:ctrlPr>
          </m:sSubPr>
          <m:e>
            <m:r>
              <w:rPr>
                <w:rFonts w:ascii="Cambria Math" w:eastAsia="SimSun" w:hAnsi="Cambria Math"/>
              </w:rPr>
              <m:t>β</m:t>
            </m:r>
          </m:e>
          <m:sub>
            <m:r>
              <w:rPr>
                <w:rFonts w:ascii="Cambria Math" w:eastAsia="SimSun" w:hAnsi="Cambria Math"/>
              </w:rPr>
              <m:t>i</m:t>
            </m:r>
          </m:sub>
        </m:sSub>
      </m:oMath>
      <w:r>
        <w:rPr>
          <w:rFonts w:ascii="SimSun" w:eastAsia="SimSun" w:hAnsi="SimSun" w:hint="eastAsia"/>
        </w:rPr>
        <w:t>，其最小值为-</w:t>
      </w:r>
      <w:r>
        <w:rPr>
          <w:rFonts w:ascii="SimSun" w:eastAsia="SimSun" w:hAnsi="SimSun"/>
        </w:rPr>
        <w:t>1.35</w:t>
      </w:r>
      <w:r>
        <w:rPr>
          <w:rFonts w:ascii="SimSun" w:eastAsia="SimSun" w:hAnsi="SimSun" w:hint="eastAsia"/>
        </w:rPr>
        <w:t>，最大值为1</w:t>
      </w:r>
      <w:r>
        <w:rPr>
          <w:rFonts w:ascii="SimSun" w:eastAsia="SimSun" w:hAnsi="SimSun"/>
        </w:rPr>
        <w:t>2.33</w:t>
      </w:r>
      <w:r>
        <w:rPr>
          <w:rFonts w:ascii="SimSun" w:eastAsia="SimSun" w:hAnsi="SimSun" w:hint="eastAsia"/>
        </w:rPr>
        <w:t>，其显著性中，最大值为0</w:t>
      </w:r>
      <w:r>
        <w:rPr>
          <w:rFonts w:ascii="SimSun" w:eastAsia="SimSun" w:hAnsi="SimSun"/>
        </w:rPr>
        <w:t>.0998</w:t>
      </w:r>
      <w:r>
        <w:rPr>
          <w:rFonts w:ascii="SimSun" w:eastAsia="SimSun" w:hAnsi="SimSun" w:hint="eastAsia"/>
        </w:rPr>
        <w:t>，说明所有的股票在</w:t>
      </w:r>
      <w:r>
        <w:rPr>
          <w:rFonts w:ascii="SimSun" w:eastAsia="SimSun" w:hAnsi="SimSun"/>
        </w:rPr>
        <w:t>90%</w:t>
      </w:r>
      <w:r>
        <w:rPr>
          <w:rFonts w:ascii="SimSun" w:eastAsia="SimSun" w:hAnsi="SimSun" w:hint="eastAsia"/>
        </w:rPr>
        <w:t>的</w:t>
      </w:r>
      <w:r w:rsidR="008C1253">
        <w:rPr>
          <w:rFonts w:ascii="SimSun" w:eastAsia="SimSun" w:hAnsi="SimSun" w:hint="eastAsia"/>
        </w:rPr>
        <w:t>可信度下都是显著不为0的，即个股收益率对市场收益率有较好的正相关表现，体现了</w:t>
      </w:r>
      <w:r w:rsidR="008C1253" w:rsidRPr="008C1253">
        <w:rPr>
          <w:rFonts w:eastAsia="SimSun"/>
        </w:rPr>
        <w:t>CAPM</w:t>
      </w:r>
      <w:r w:rsidR="008C1253">
        <w:rPr>
          <w:rFonts w:ascii="SimSun" w:eastAsia="SimSun" w:hAnsi="SimSun" w:hint="eastAsia"/>
        </w:rPr>
        <w:t>的</w:t>
      </w:r>
      <w:r w:rsidR="001C6382">
        <w:rPr>
          <w:rFonts w:ascii="SimSun" w:eastAsia="SimSun" w:hAnsi="SimSun" w:hint="eastAsia"/>
        </w:rPr>
        <w:t>有效性。</w:t>
      </w:r>
    </w:p>
    <w:tbl>
      <w:tblPr>
        <w:tblpPr w:leftFromText="180" w:rightFromText="180" w:vertAnchor="text" w:horzAnchor="margin" w:tblpY="418"/>
        <w:tblW w:w="9554" w:type="dxa"/>
        <w:tblLook w:val="04A0" w:firstRow="1" w:lastRow="0" w:firstColumn="1" w:lastColumn="0" w:noHBand="0" w:noVBand="1"/>
      </w:tblPr>
      <w:tblGrid>
        <w:gridCol w:w="1046"/>
        <w:gridCol w:w="1166"/>
        <w:gridCol w:w="1046"/>
        <w:gridCol w:w="1046"/>
        <w:gridCol w:w="1046"/>
        <w:gridCol w:w="1046"/>
        <w:gridCol w:w="1066"/>
        <w:gridCol w:w="1046"/>
        <w:gridCol w:w="1046"/>
      </w:tblGrid>
      <w:tr w:rsidR="00DF51C9" w:rsidRPr="00075410" w:rsidTr="00DF51C9">
        <w:trPr>
          <w:trHeight w:val="305"/>
        </w:trPr>
        <w:tc>
          <w:tcPr>
            <w:tcW w:w="1046" w:type="dxa"/>
            <w:tcBorders>
              <w:bottom w:val="single" w:sz="4" w:space="0" w:color="auto"/>
            </w:tcBorders>
            <w:shd w:val="clear" w:color="auto" w:fill="auto"/>
            <w:noWrap/>
            <w:vAlign w:val="bottom"/>
            <w:hideMark/>
          </w:tcPr>
          <w:p w:rsidR="00DF51C9" w:rsidRPr="00075410" w:rsidRDefault="00DF51C9" w:rsidP="00DF51C9">
            <w:pPr>
              <w:rPr>
                <w:rFonts w:ascii="Calibri" w:hAnsi="Calibri"/>
                <w:color w:val="000000"/>
                <w:sz w:val="20"/>
                <w:szCs w:val="20"/>
              </w:rPr>
            </w:pPr>
            <w:r w:rsidRPr="00075410">
              <w:rPr>
                <w:rFonts w:ascii="Calibri" w:hAnsi="Calibri"/>
                <w:color w:val="000000"/>
                <w:sz w:val="20"/>
                <w:szCs w:val="20"/>
              </w:rPr>
              <w:t> </w:t>
            </w:r>
          </w:p>
        </w:tc>
        <w:tc>
          <w:tcPr>
            <w:tcW w:w="116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股票代码</w:t>
            </w:r>
          </w:p>
        </w:tc>
        <w:tc>
          <w:tcPr>
            <w:tcW w:w="1046" w:type="dxa"/>
            <w:tcBorders>
              <w:bottom w:val="single" w:sz="4" w:space="0" w:color="auto"/>
            </w:tcBorders>
            <w:shd w:val="clear" w:color="auto" w:fill="auto"/>
            <w:noWrap/>
            <w:vAlign w:val="bottom"/>
            <w:hideMark/>
          </w:tcPr>
          <w:p w:rsidR="00DF51C9" w:rsidRPr="00075410" w:rsidRDefault="00DF51C9" w:rsidP="00DF51C9">
            <w:pPr>
              <w:rPr>
                <w:rFonts w:hint="eastAsia"/>
                <w:color w:val="333333"/>
                <w:sz w:val="20"/>
                <w:szCs w:val="20"/>
              </w:rPr>
            </w:pPr>
            <w:r w:rsidRPr="00075410">
              <w:rPr>
                <w:color w:val="333333"/>
                <w:sz w:val="20"/>
                <w:szCs w:val="20"/>
              </w:rPr>
              <w:t>alpha</w:t>
            </w:r>
          </w:p>
        </w:tc>
        <w:tc>
          <w:tcPr>
            <w:tcW w:w="104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t值</w:t>
            </w:r>
          </w:p>
        </w:tc>
        <w:tc>
          <w:tcPr>
            <w:tcW w:w="104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hint="eastAsia"/>
                <w:color w:val="333333"/>
                <w:sz w:val="20"/>
                <w:szCs w:val="20"/>
              </w:rPr>
            </w:pPr>
            <w:r w:rsidRPr="00075410">
              <w:rPr>
                <w:rFonts w:ascii="SimHei" w:eastAsia="SimHei" w:hAnsi="SimHei" w:hint="eastAsia"/>
                <w:color w:val="333333"/>
                <w:sz w:val="20"/>
                <w:szCs w:val="20"/>
              </w:rPr>
              <w:t>显著性</w:t>
            </w:r>
          </w:p>
        </w:tc>
        <w:tc>
          <w:tcPr>
            <w:tcW w:w="1046" w:type="dxa"/>
            <w:tcBorders>
              <w:bottom w:val="single" w:sz="4" w:space="0" w:color="auto"/>
            </w:tcBorders>
            <w:shd w:val="clear" w:color="auto" w:fill="auto"/>
            <w:noWrap/>
            <w:vAlign w:val="bottom"/>
            <w:hideMark/>
          </w:tcPr>
          <w:p w:rsidR="00DF51C9" w:rsidRPr="00075410" w:rsidRDefault="00DF51C9" w:rsidP="00DF51C9">
            <w:pPr>
              <w:rPr>
                <w:rFonts w:hint="eastAsia"/>
                <w:color w:val="333333"/>
                <w:sz w:val="20"/>
                <w:szCs w:val="20"/>
              </w:rPr>
            </w:pPr>
            <w:r w:rsidRPr="00075410">
              <w:rPr>
                <w:color w:val="333333"/>
                <w:sz w:val="20"/>
                <w:szCs w:val="20"/>
              </w:rPr>
              <w:t>beta</w:t>
            </w:r>
          </w:p>
        </w:tc>
        <w:tc>
          <w:tcPr>
            <w:tcW w:w="106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t值</w:t>
            </w:r>
          </w:p>
        </w:tc>
        <w:tc>
          <w:tcPr>
            <w:tcW w:w="104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hint="eastAsia"/>
                <w:color w:val="333333"/>
                <w:sz w:val="20"/>
                <w:szCs w:val="20"/>
              </w:rPr>
            </w:pPr>
            <w:r w:rsidRPr="00075410">
              <w:rPr>
                <w:rFonts w:ascii="SimHei" w:eastAsia="SimHei" w:hAnsi="SimHei" w:hint="eastAsia"/>
                <w:color w:val="333333"/>
                <w:sz w:val="20"/>
                <w:szCs w:val="20"/>
              </w:rPr>
              <w:t>显著性</w:t>
            </w:r>
          </w:p>
        </w:tc>
        <w:tc>
          <w:tcPr>
            <w:tcW w:w="1046" w:type="dxa"/>
            <w:tcBorders>
              <w:bottom w:val="single" w:sz="4" w:space="0" w:color="auto"/>
            </w:tcBorders>
            <w:shd w:val="clear" w:color="auto" w:fill="auto"/>
            <w:noWrap/>
            <w:vAlign w:val="bottom"/>
            <w:hideMark/>
          </w:tcPr>
          <w:p w:rsidR="00DF51C9" w:rsidRPr="00075410" w:rsidRDefault="00DF51C9" w:rsidP="00DF51C9">
            <w:pPr>
              <w:rPr>
                <w:rFonts w:hint="eastAsia"/>
                <w:color w:val="333333"/>
                <w:sz w:val="20"/>
                <w:szCs w:val="20"/>
              </w:rPr>
            </w:pPr>
            <w:r w:rsidRPr="00075410">
              <w:rPr>
                <w:color w:val="333333"/>
                <w:sz w:val="20"/>
                <w:szCs w:val="20"/>
              </w:rPr>
              <w:t>R^2</w:t>
            </w:r>
          </w:p>
        </w:tc>
      </w:tr>
      <w:tr w:rsidR="00DF51C9" w:rsidRPr="00075410" w:rsidTr="00DF51C9">
        <w:trPr>
          <w:trHeight w:val="286"/>
        </w:trPr>
        <w:tc>
          <w:tcPr>
            <w:tcW w:w="1046" w:type="dxa"/>
            <w:tcBorders>
              <w:top w:val="single" w:sz="4" w:space="0" w:color="auto"/>
            </w:tcBorders>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数量</w:t>
            </w:r>
          </w:p>
        </w:tc>
        <w:tc>
          <w:tcPr>
            <w:tcW w:w="1166" w:type="dxa"/>
            <w:tcBorders>
              <w:top w:val="single" w:sz="4" w:space="0" w:color="auto"/>
            </w:tcBorders>
            <w:shd w:val="clear" w:color="auto" w:fill="auto"/>
            <w:noWrap/>
            <w:vAlign w:val="bottom"/>
            <w:hideMark/>
          </w:tcPr>
          <w:p w:rsidR="00DF51C9" w:rsidRPr="00075410" w:rsidRDefault="00DF51C9" w:rsidP="00DF51C9">
            <w:pPr>
              <w:jc w:val="right"/>
              <w:rPr>
                <w:rFonts w:hint="eastAsia"/>
                <w:color w:val="333333"/>
                <w:sz w:val="20"/>
                <w:szCs w:val="20"/>
              </w:rPr>
            </w:pPr>
            <w:r w:rsidRPr="00075410">
              <w:rPr>
                <w:color w:val="333333"/>
                <w:sz w:val="20"/>
                <w:szCs w:val="20"/>
              </w:rPr>
              <w:t>3012</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3012</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3012</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3012</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3012</w:t>
            </w:r>
          </w:p>
        </w:tc>
        <w:tc>
          <w:tcPr>
            <w:tcW w:w="106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3012</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3.01E+03</w:t>
            </w:r>
          </w:p>
        </w:tc>
        <w:tc>
          <w:tcPr>
            <w:tcW w:w="1046" w:type="dxa"/>
            <w:tcBorders>
              <w:top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3.01E+03</w:t>
            </w:r>
          </w:p>
        </w:tc>
      </w:tr>
      <w:tr w:rsidR="00DF51C9" w:rsidRPr="00075410" w:rsidTr="00DF51C9">
        <w:trPr>
          <w:trHeight w:val="286"/>
        </w:trPr>
        <w:tc>
          <w:tcPr>
            <w:tcW w:w="1046" w:type="dxa"/>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平均值</w:t>
            </w:r>
          </w:p>
        </w:tc>
        <w:tc>
          <w:tcPr>
            <w:tcW w:w="1166" w:type="dxa"/>
            <w:shd w:val="clear" w:color="auto" w:fill="auto"/>
            <w:noWrap/>
            <w:vAlign w:val="bottom"/>
            <w:hideMark/>
          </w:tcPr>
          <w:p w:rsidR="00DF51C9" w:rsidRPr="00075410" w:rsidRDefault="00DF51C9" w:rsidP="00DF51C9">
            <w:pPr>
              <w:jc w:val="right"/>
              <w:rPr>
                <w:rFonts w:hint="eastAsia"/>
                <w:color w:val="333333"/>
                <w:sz w:val="20"/>
                <w:szCs w:val="20"/>
              </w:rPr>
            </w:pPr>
            <w:r w:rsidRPr="00075410">
              <w:rPr>
                <w:color w:val="333333"/>
                <w:sz w:val="20"/>
                <w:szCs w:val="20"/>
              </w:rPr>
              <w:t>294523.556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0.014929</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0.654955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0.405349</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1.449163</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3.939876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5.94E-02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2.64E-01</w:t>
            </w:r>
          </w:p>
        </w:tc>
      </w:tr>
      <w:tr w:rsidR="00DF51C9" w:rsidRPr="00075410" w:rsidTr="00DF51C9">
        <w:trPr>
          <w:trHeight w:val="286"/>
        </w:trPr>
        <w:tc>
          <w:tcPr>
            <w:tcW w:w="1046" w:type="dxa"/>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方差</w:t>
            </w:r>
          </w:p>
        </w:tc>
        <w:tc>
          <w:tcPr>
            <w:tcW w:w="1166" w:type="dxa"/>
            <w:shd w:val="clear" w:color="auto" w:fill="auto"/>
            <w:noWrap/>
            <w:vAlign w:val="bottom"/>
            <w:hideMark/>
          </w:tcPr>
          <w:p w:rsidR="00DF51C9" w:rsidRPr="00075410" w:rsidRDefault="00DF51C9" w:rsidP="00DF51C9">
            <w:pPr>
              <w:jc w:val="right"/>
              <w:rPr>
                <w:rFonts w:hint="eastAsia"/>
                <w:color w:val="333333"/>
                <w:sz w:val="20"/>
                <w:szCs w:val="20"/>
              </w:rPr>
            </w:pPr>
            <w:r w:rsidRPr="00075410">
              <w:rPr>
                <w:color w:val="333333"/>
                <w:sz w:val="20"/>
                <w:szCs w:val="20"/>
              </w:rPr>
              <w:t>267303.744</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0.034533</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1.159556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0.298669</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0.947937</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2.011663</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1.64E-01</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1.54E-01</w:t>
            </w:r>
          </w:p>
        </w:tc>
      </w:tr>
      <w:tr w:rsidR="00DF51C9" w:rsidRPr="00075410" w:rsidTr="00DF51C9">
        <w:trPr>
          <w:trHeight w:val="286"/>
        </w:trPr>
        <w:tc>
          <w:tcPr>
            <w:tcW w:w="1046" w:type="dxa"/>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最小值</w:t>
            </w:r>
          </w:p>
        </w:tc>
        <w:tc>
          <w:tcPr>
            <w:tcW w:w="1166" w:type="dxa"/>
            <w:shd w:val="clear" w:color="auto" w:fill="auto"/>
            <w:noWrap/>
            <w:vAlign w:val="bottom"/>
            <w:hideMark/>
          </w:tcPr>
          <w:p w:rsidR="00DF51C9" w:rsidRPr="00075410" w:rsidRDefault="00DF51C9" w:rsidP="00DF51C9">
            <w:pPr>
              <w:jc w:val="right"/>
              <w:rPr>
                <w:rFonts w:hint="eastAsia"/>
                <w:color w:val="333333"/>
                <w:sz w:val="20"/>
                <w:szCs w:val="20"/>
              </w:rPr>
            </w:pPr>
            <w:r w:rsidRPr="00075410">
              <w:rPr>
                <w:color w:val="333333"/>
                <w:sz w:val="20"/>
                <w:szCs w:val="20"/>
              </w:rPr>
              <w:t>1</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-0.136633</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-5.545571</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0.000002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-3.788935</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-1.352962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6.29E-16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6.23E-07</w:t>
            </w:r>
          </w:p>
        </w:tc>
      </w:tr>
      <w:tr w:rsidR="00DF51C9" w:rsidRPr="00075410" w:rsidTr="00DF51C9">
        <w:trPr>
          <w:trHeight w:val="286"/>
        </w:trPr>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25%</w:t>
            </w:r>
          </w:p>
        </w:tc>
        <w:tc>
          <w:tcPr>
            <w:tcW w:w="11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2345.75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-0.000377</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-0.036596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0.132179</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1.006792</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2.554055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4.28E-06</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1.48E-01</w:t>
            </w:r>
          </w:p>
        </w:tc>
      </w:tr>
      <w:tr w:rsidR="00DF51C9" w:rsidRPr="00075410" w:rsidTr="00DF51C9">
        <w:trPr>
          <w:trHeight w:val="286"/>
        </w:trPr>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50%</w:t>
            </w:r>
          </w:p>
        </w:tc>
        <w:tc>
          <w:tcPr>
            <w:tcW w:w="11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300276.5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0.008491</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0.712437</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0.354</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1.352298</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3.875329</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3.35E-04</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2.56E-01</w:t>
            </w:r>
          </w:p>
        </w:tc>
      </w:tr>
      <w:tr w:rsidR="00DF51C9" w:rsidRPr="00075410" w:rsidTr="00226324">
        <w:trPr>
          <w:trHeight w:val="286"/>
        </w:trPr>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75%</w:t>
            </w:r>
          </w:p>
        </w:tc>
        <w:tc>
          <w:tcPr>
            <w:tcW w:w="11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600546.25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0.018812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1.40002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0.654127</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1.717843</w:t>
            </w:r>
          </w:p>
        </w:tc>
        <w:tc>
          <w:tcPr>
            <w:tcW w:w="106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5.199835</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1.60E-02</w:t>
            </w:r>
          </w:p>
        </w:tc>
        <w:tc>
          <w:tcPr>
            <w:tcW w:w="1046" w:type="dxa"/>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3.69E-01</w:t>
            </w:r>
          </w:p>
        </w:tc>
      </w:tr>
      <w:tr w:rsidR="00DF51C9" w:rsidRPr="00075410" w:rsidTr="00226324">
        <w:trPr>
          <w:trHeight w:val="305"/>
        </w:trPr>
        <w:tc>
          <w:tcPr>
            <w:tcW w:w="1046" w:type="dxa"/>
            <w:tcBorders>
              <w:bottom w:val="single" w:sz="4" w:space="0" w:color="auto"/>
            </w:tcBorders>
            <w:shd w:val="clear" w:color="auto" w:fill="auto"/>
            <w:noWrap/>
            <w:vAlign w:val="bottom"/>
            <w:hideMark/>
          </w:tcPr>
          <w:p w:rsidR="00DF51C9" w:rsidRPr="00075410" w:rsidRDefault="00DF51C9" w:rsidP="00DF51C9">
            <w:pPr>
              <w:rPr>
                <w:rFonts w:ascii="SimHei" w:eastAsia="SimHei" w:hAnsi="SimHei"/>
                <w:color w:val="333333"/>
                <w:sz w:val="20"/>
                <w:szCs w:val="20"/>
              </w:rPr>
            </w:pPr>
            <w:r w:rsidRPr="00075410">
              <w:rPr>
                <w:rFonts w:ascii="SimHei" w:eastAsia="SimHei" w:hAnsi="SimHei" w:hint="eastAsia"/>
                <w:color w:val="333333"/>
                <w:sz w:val="20"/>
                <w:szCs w:val="20"/>
              </w:rPr>
              <w:t>最大值</w:t>
            </w:r>
          </w:p>
        </w:tc>
        <w:tc>
          <w:tcPr>
            <w:tcW w:w="1166" w:type="dxa"/>
            <w:tcBorders>
              <w:bottom w:val="single" w:sz="4" w:space="0" w:color="auto"/>
            </w:tcBorders>
            <w:shd w:val="clear" w:color="auto" w:fill="auto"/>
            <w:noWrap/>
            <w:vAlign w:val="bottom"/>
            <w:hideMark/>
          </w:tcPr>
          <w:p w:rsidR="00DF51C9" w:rsidRPr="00075410" w:rsidRDefault="00DF51C9" w:rsidP="00DF51C9">
            <w:pPr>
              <w:jc w:val="right"/>
              <w:rPr>
                <w:rFonts w:hint="eastAsia"/>
                <w:color w:val="333333"/>
                <w:sz w:val="20"/>
                <w:szCs w:val="20"/>
              </w:rPr>
            </w:pPr>
            <w:r w:rsidRPr="00075410">
              <w:rPr>
                <w:color w:val="333333"/>
                <w:sz w:val="20"/>
                <w:szCs w:val="20"/>
              </w:rPr>
              <w:t>603999</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0.336039</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4.276471</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0.999624</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9.644053</w:t>
            </w:r>
          </w:p>
        </w:tc>
        <w:tc>
          <w:tcPr>
            <w:tcW w:w="106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12.331324</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9.98E-01</w:t>
            </w:r>
          </w:p>
        </w:tc>
        <w:tc>
          <w:tcPr>
            <w:tcW w:w="1046" w:type="dxa"/>
            <w:tcBorders>
              <w:bottom w:val="single" w:sz="4" w:space="0" w:color="auto"/>
            </w:tcBorders>
            <w:shd w:val="clear" w:color="auto" w:fill="auto"/>
            <w:noWrap/>
            <w:vAlign w:val="bottom"/>
            <w:hideMark/>
          </w:tcPr>
          <w:p w:rsidR="00DF51C9" w:rsidRPr="00075410" w:rsidRDefault="00DF51C9" w:rsidP="00DF51C9">
            <w:pPr>
              <w:jc w:val="right"/>
              <w:rPr>
                <w:color w:val="333333"/>
                <w:sz w:val="20"/>
                <w:szCs w:val="20"/>
              </w:rPr>
            </w:pPr>
            <w:r w:rsidRPr="00075410">
              <w:rPr>
                <w:color w:val="333333"/>
                <w:sz w:val="20"/>
                <w:szCs w:val="20"/>
              </w:rPr>
              <w:t>7.84E-01</w:t>
            </w:r>
          </w:p>
        </w:tc>
      </w:tr>
    </w:tbl>
    <w:p w:rsidR="001C6382" w:rsidRDefault="001C6382" w:rsidP="001C6382">
      <w:pPr>
        <w:spacing w:line="360" w:lineRule="auto"/>
        <w:rPr>
          <w:rFonts w:ascii="SimSun" w:eastAsia="SimSun" w:hAnsi="SimSun"/>
        </w:rPr>
      </w:pPr>
      <w:r>
        <w:rPr>
          <w:rFonts w:ascii="SimSun" w:eastAsia="SimSun" w:hAnsi="SimSun" w:hint="eastAsia"/>
        </w:rPr>
        <w:t>下表展示了针对个股的时间序列回归分析的简要结果：</w:t>
      </w:r>
    </w:p>
    <w:p w:rsidR="001C6382" w:rsidRDefault="001C6382" w:rsidP="00C3338D">
      <w:pPr>
        <w:spacing w:line="360" w:lineRule="auto"/>
        <w:rPr>
          <w:rFonts w:ascii="SimSun" w:eastAsia="SimSun" w:hAnsi="SimSun" w:cstheme="minorBidi"/>
        </w:rPr>
      </w:pPr>
    </w:p>
    <w:p w:rsidR="00075410" w:rsidRDefault="00075410" w:rsidP="00C3338D">
      <w:pPr>
        <w:spacing w:line="360" w:lineRule="auto"/>
        <w:rPr>
          <w:rFonts w:ascii="SimSun" w:eastAsia="SimSun" w:hAnsi="SimSun" w:cstheme="minorBidi"/>
        </w:rPr>
      </w:pPr>
      <w:r>
        <w:rPr>
          <w:rFonts w:ascii="SimSun" w:eastAsia="SimSun" w:hAnsi="SimSun" w:cstheme="minorBidi" w:hint="eastAsia"/>
        </w:rPr>
        <w:t>（二）</w:t>
      </w:r>
      <w:r w:rsidR="00DF51C9">
        <w:rPr>
          <w:rFonts w:ascii="SimSun" w:eastAsia="SimSun" w:hAnsi="SimSun" w:cstheme="minorBidi" w:hint="eastAsia"/>
        </w:rPr>
        <w:t>构建投资组合并进行时间序列回归分析</w:t>
      </w:r>
    </w:p>
    <w:p w:rsidR="00DF51C9" w:rsidRDefault="00675E87" w:rsidP="00C3338D">
      <w:pPr>
        <w:spacing w:line="360" w:lineRule="auto"/>
        <w:rPr>
          <w:rFonts w:ascii="SimSun" w:eastAsia="SimSun" w:hAnsi="SimSun"/>
        </w:rPr>
      </w:pPr>
      <w:r>
        <w:rPr>
          <w:rFonts w:ascii="SimSun" w:eastAsia="SimSun" w:hAnsi="SimSun" w:cstheme="minorBidi" w:hint="eastAsia"/>
        </w:rPr>
        <w:t>结合第一步的系统风险系数，</w:t>
      </w:r>
      <w:r w:rsidR="0091206C">
        <w:rPr>
          <w:rFonts w:ascii="SimSun" w:eastAsia="SimSun" w:hAnsi="SimSun" w:cstheme="minorBidi" w:hint="eastAsia"/>
        </w:rPr>
        <w:t>将系统分析系数按照大小进行排列，并按照每1</w:t>
      </w:r>
      <w:r w:rsidR="0091206C">
        <w:rPr>
          <w:rFonts w:ascii="SimSun" w:eastAsia="SimSun" w:hAnsi="SimSun" w:cstheme="minorBidi"/>
        </w:rPr>
        <w:t>2</w:t>
      </w:r>
      <w:r w:rsidR="0091206C">
        <w:rPr>
          <w:rFonts w:ascii="SimSun" w:eastAsia="SimSun" w:hAnsi="SimSun" w:cstheme="minorBidi" w:hint="eastAsia"/>
        </w:rPr>
        <w:t>个股票为一组建立投资组合，在</w:t>
      </w:r>
      <w:r w:rsidR="0091206C">
        <w:rPr>
          <w:rFonts w:ascii="SimSun" w:eastAsia="SimSun" w:hAnsi="SimSun" w:hint="eastAsia"/>
        </w:rPr>
        <w:t>2</w:t>
      </w:r>
      <w:r w:rsidR="0091206C">
        <w:rPr>
          <w:rFonts w:ascii="SimSun" w:eastAsia="SimSun" w:hAnsi="SimSun"/>
        </w:rPr>
        <w:t>017</w:t>
      </w:r>
      <w:r w:rsidR="0091206C">
        <w:rPr>
          <w:rFonts w:ascii="SimSun" w:eastAsia="SimSun" w:hAnsi="SimSun" w:hint="eastAsia"/>
        </w:rPr>
        <w:t>年第2</w:t>
      </w:r>
      <w:r w:rsidR="0091206C">
        <w:rPr>
          <w:rFonts w:ascii="SimSun" w:eastAsia="SimSun" w:hAnsi="SimSun"/>
        </w:rPr>
        <w:t>5</w:t>
      </w:r>
      <w:r w:rsidR="0091206C">
        <w:rPr>
          <w:rFonts w:ascii="SimSun" w:eastAsia="SimSun" w:hAnsi="SimSun" w:hint="eastAsia"/>
        </w:rPr>
        <w:t>周至2</w:t>
      </w:r>
      <w:r w:rsidR="0091206C">
        <w:rPr>
          <w:rFonts w:ascii="SimSun" w:eastAsia="SimSun" w:hAnsi="SimSun"/>
        </w:rPr>
        <w:t>018</w:t>
      </w:r>
      <w:r w:rsidR="0091206C">
        <w:rPr>
          <w:rFonts w:ascii="SimSun" w:eastAsia="SimSun" w:hAnsi="SimSun" w:hint="eastAsia"/>
        </w:rPr>
        <w:t>年第3</w:t>
      </w:r>
      <w:r w:rsidR="0091206C">
        <w:rPr>
          <w:rFonts w:ascii="SimSun" w:eastAsia="SimSun" w:hAnsi="SimSun"/>
        </w:rPr>
        <w:t>9</w:t>
      </w:r>
      <w:r w:rsidR="0091206C">
        <w:rPr>
          <w:rFonts w:ascii="SimSun" w:eastAsia="SimSun" w:hAnsi="SimSun" w:hint="eastAsia"/>
        </w:rPr>
        <w:t>周的时间段中，将每组投资组合内的每周股票平均收益作为该投资组合在该周的收益率</w:t>
      </w:r>
    </w:p>
    <w:p w:rsidR="0091206C" w:rsidRPr="0091206C" w:rsidRDefault="0091206C" w:rsidP="00C3338D">
      <w:pPr>
        <w:spacing w:line="360" w:lineRule="auto"/>
        <w:rPr>
          <w:rFonts w:ascii="SimSun" w:eastAsia="SimSun" w:hAnsi="SimSun" w:cstheme="minorBidi"/>
        </w:rPr>
      </w:pPr>
      <m:oMathPara>
        <m:oMath>
          <m:sSub>
            <m:sSubPr>
              <m:ctrlPr>
                <w:rPr>
                  <w:rFonts w:ascii="Cambria Math" w:eastAsia="SimSun" w:hAnsi="Cambria Math" w:cstheme="minorBidi"/>
                </w:rPr>
              </m:ctrlPr>
            </m:sSubPr>
            <m:e>
              <m:r>
                <w:rPr>
                  <w:rFonts w:ascii="Cambria Math" w:eastAsia="SimSun" w:hAnsi="Cambria Math" w:cstheme="minorBidi" w:hint="eastAsia"/>
                </w:rPr>
                <m:t>r</m:t>
              </m:r>
            </m:e>
            <m:sub>
              <m:r>
                <w:rPr>
                  <w:rFonts w:ascii="Cambria Math" w:eastAsia="SimSun" w:hAnsi="Cambria Math" w:cstheme="minorBidi"/>
                </w:rPr>
                <m:t>pi</m:t>
              </m:r>
            </m:sub>
          </m:sSub>
          <m:r>
            <w:rPr>
              <w:rFonts w:ascii="Cambria Math" w:eastAsia="SimSun" w:hAnsi="Cambria Math" w:cstheme="minorBidi"/>
            </w:rPr>
            <m:t>=</m:t>
          </m:r>
          <m:f>
            <m:fPr>
              <m:ctrlPr>
                <w:rPr>
                  <w:rFonts w:ascii="Cambria Math" w:eastAsia="SimSun" w:hAnsi="Cambria Math" w:cstheme="minorBidi"/>
                  <w:i/>
                </w:rPr>
              </m:ctrlPr>
            </m:fPr>
            <m:num>
              <m:r>
                <w:rPr>
                  <w:rFonts w:ascii="Cambria Math" w:eastAsia="SimSun" w:hAnsi="Cambria Math" w:cstheme="minorBidi"/>
                </w:rPr>
                <m:t>1</m:t>
              </m:r>
            </m:num>
            <m:den>
              <m:r>
                <w:rPr>
                  <w:rFonts w:ascii="Cambria Math" w:eastAsia="SimSun" w:hAnsi="Cambria Math" w:cstheme="minorBidi"/>
                </w:rPr>
                <m:t>n</m:t>
              </m:r>
            </m:den>
          </m:f>
          <m:nary>
            <m:naryPr>
              <m:chr m:val="∑"/>
              <m:limLoc m:val="undOvr"/>
              <m:ctrlPr>
                <w:rPr>
                  <w:rFonts w:ascii="Cambria Math" w:eastAsia="SimSun" w:hAnsi="Cambria Math" w:cstheme="minorBidi"/>
                  <w:i/>
                </w:rPr>
              </m:ctrlPr>
            </m:naryPr>
            <m:sub>
              <m:r>
                <w:rPr>
                  <w:rFonts w:ascii="Cambria Math" w:eastAsia="SimSun" w:hAnsi="Cambria Math" w:cstheme="minorBidi"/>
                </w:rPr>
                <m:t>k=</m:t>
              </m:r>
              <m:r>
                <w:rPr>
                  <w:rFonts w:ascii="Cambria Math" w:eastAsia="SimSun" w:hAnsi="Cambria Math" w:cstheme="minorBidi"/>
                </w:rPr>
                <m:t>1</m:t>
              </m:r>
            </m:sub>
            <m:sup>
              <m:r>
                <w:rPr>
                  <w:rFonts w:ascii="Cambria Math" w:eastAsia="SimSun" w:hAnsi="Cambria Math" w:cstheme="minorBidi"/>
                </w:rPr>
                <m:t>n</m:t>
              </m:r>
            </m:sup>
            <m:e>
              <m:sSub>
                <m:sSubPr>
                  <m:ctrlPr>
                    <w:rPr>
                      <w:rFonts w:ascii="Cambria Math" w:eastAsia="SimSun" w:hAnsi="Cambria Math" w:cstheme="minorBidi"/>
                      <w:i/>
                    </w:rPr>
                  </m:ctrlPr>
                </m:sSubPr>
                <m:e>
                  <m:r>
                    <w:rPr>
                      <w:rFonts w:ascii="Cambria Math" w:eastAsia="SimSun" w:hAnsi="Cambria Math" w:cstheme="minorBidi"/>
                    </w:rPr>
                    <m:t>r</m:t>
                  </m:r>
                </m:e>
                <m:sub>
                  <m:r>
                    <w:rPr>
                      <w:rFonts w:ascii="Cambria Math" w:eastAsia="SimSun" w:hAnsi="Cambria Math" w:cstheme="minorBidi"/>
                    </w:rPr>
                    <m:t>ki</m:t>
                  </m:r>
                </m:sub>
              </m:sSub>
            </m:e>
          </m:nary>
        </m:oMath>
      </m:oMathPara>
    </w:p>
    <w:p w:rsidR="0091206C" w:rsidRDefault="0091206C" w:rsidP="00C3338D">
      <w:pPr>
        <w:spacing w:line="360" w:lineRule="auto"/>
        <w:rPr>
          <w:rFonts w:ascii="SimSun" w:eastAsia="SimSun" w:hAnsi="SimSun" w:cstheme="minorBidi"/>
        </w:rPr>
      </w:pPr>
      <w:r>
        <w:rPr>
          <w:rFonts w:ascii="SimSun" w:eastAsia="SimSun" w:hAnsi="SimSun" w:cstheme="minorBidi" w:hint="eastAsia"/>
        </w:rPr>
        <w:t>并将这个组合收益率减去无风险利率作为组合的风险溢价，对市场溢价进行时间序列的回归分析。</w:t>
      </w:r>
    </w:p>
    <w:tbl>
      <w:tblPr>
        <w:tblpPr w:leftFromText="180" w:rightFromText="180" w:vertAnchor="text" w:horzAnchor="margin" w:tblpXSpec="center" w:tblpY="361"/>
        <w:tblW w:w="9612" w:type="dxa"/>
        <w:tblLook w:val="04A0" w:firstRow="1" w:lastRow="0" w:firstColumn="1" w:lastColumn="0" w:noHBand="0" w:noVBand="1"/>
      </w:tblPr>
      <w:tblGrid>
        <w:gridCol w:w="1068"/>
        <w:gridCol w:w="1068"/>
        <w:gridCol w:w="1068"/>
        <w:gridCol w:w="1068"/>
        <w:gridCol w:w="1068"/>
        <w:gridCol w:w="1068"/>
        <w:gridCol w:w="1068"/>
        <w:gridCol w:w="1068"/>
        <w:gridCol w:w="1068"/>
      </w:tblGrid>
      <w:tr w:rsidR="00A928D8" w:rsidRPr="00A928D8" w:rsidTr="00A928D8">
        <w:trPr>
          <w:trHeight w:val="294"/>
        </w:trPr>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rPr>
                <w:color w:val="000000"/>
                <w:sz w:val="20"/>
                <w:szCs w:val="20"/>
              </w:rPr>
            </w:pPr>
            <w:r w:rsidRPr="00A928D8">
              <w:rPr>
                <w:color w:val="000000"/>
                <w:sz w:val="20"/>
                <w:szCs w:val="20"/>
              </w:rPr>
              <w:t> </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投资组合</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color w:val="333333"/>
                <w:sz w:val="20"/>
                <w:szCs w:val="20"/>
              </w:rPr>
              <w:t>alpha</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color w:val="333333"/>
                <w:sz w:val="20"/>
                <w:szCs w:val="20"/>
              </w:rPr>
              <w:t>t</w:t>
            </w:r>
            <w:r w:rsidRPr="00606525">
              <w:rPr>
                <w:rFonts w:ascii="SimSun" w:eastAsia="SimSun" w:hAnsi="SimSun" w:cs="SimSun" w:hint="eastAsia"/>
                <w:color w:val="333333"/>
                <w:sz w:val="20"/>
                <w:szCs w:val="20"/>
              </w:rPr>
              <w:t>值</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显著值</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color w:val="333333"/>
                <w:sz w:val="20"/>
                <w:szCs w:val="20"/>
              </w:rPr>
              <w:t>beta</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color w:val="333333"/>
                <w:sz w:val="20"/>
                <w:szCs w:val="20"/>
              </w:rPr>
              <w:t>t</w:t>
            </w:r>
            <w:r w:rsidRPr="00606525">
              <w:rPr>
                <w:rFonts w:ascii="SimSun" w:eastAsia="SimSun" w:hAnsi="SimSun" w:cs="SimSun" w:hint="eastAsia"/>
                <w:color w:val="333333"/>
                <w:sz w:val="20"/>
                <w:szCs w:val="20"/>
              </w:rPr>
              <w:t>值</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显著值</w:t>
            </w:r>
          </w:p>
        </w:tc>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color w:val="333333"/>
                <w:sz w:val="20"/>
                <w:szCs w:val="20"/>
              </w:rPr>
              <w:t>R^2</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数量</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2.51E+02</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平均值</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126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0.001244</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0.172256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0.546499</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1.147016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8.551774</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3.58E-07</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0.573472</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方差</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72.601653</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0.004399</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0.926861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0.285659</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0.147325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1.942441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2.97E-06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0.105335</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最小值</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-0.012424</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-2.750083</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0.001872</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0.63753</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4.491962</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1.57E-21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0.283484</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jc w:val="right"/>
              <w:rPr>
                <w:color w:val="333333"/>
                <w:sz w:val="20"/>
                <w:szCs w:val="20"/>
              </w:rPr>
            </w:pPr>
            <w:r w:rsidRPr="00606525">
              <w:rPr>
                <w:color w:val="333333"/>
                <w:sz w:val="20"/>
                <w:szCs w:val="20"/>
              </w:rPr>
              <w:t>25%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63.5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-0.00148</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-0.31002</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0.282522</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1.046073</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7.147037</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4.39E-13</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0.500392</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jc w:val="right"/>
              <w:rPr>
                <w:color w:val="333333"/>
                <w:sz w:val="20"/>
                <w:szCs w:val="20"/>
              </w:rPr>
            </w:pPr>
            <w:r w:rsidRPr="00606525">
              <w:rPr>
                <w:color w:val="333333"/>
                <w:sz w:val="20"/>
                <w:szCs w:val="20"/>
              </w:rPr>
              <w:t>50%</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126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0.001084</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0.236936</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0.584238</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1.149265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8.410861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3.33E-11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0.581083</w:t>
            </w:r>
          </w:p>
        </w:tc>
      </w:tr>
      <w:tr w:rsidR="00A928D8" w:rsidRPr="00A928D8" w:rsidTr="00A928D8">
        <w:trPr>
          <w:trHeight w:val="294"/>
        </w:trPr>
        <w:tc>
          <w:tcPr>
            <w:tcW w:w="1068" w:type="dxa"/>
            <w:tcBorders>
              <w:top w:val="nil"/>
              <w:left w:val="nil"/>
              <w:bottom w:val="nil"/>
              <w:right w:val="nil"/>
            </w:tcBorders>
            <w:shd w:val="clear" w:color="auto" w:fill="auto"/>
            <w:noWrap/>
            <w:vAlign w:val="bottom"/>
            <w:hideMark/>
          </w:tcPr>
          <w:p w:rsidR="00A928D8" w:rsidRPr="00606525" w:rsidRDefault="00A928D8" w:rsidP="00A928D8">
            <w:pPr>
              <w:jc w:val="right"/>
              <w:rPr>
                <w:color w:val="333333"/>
                <w:sz w:val="20"/>
                <w:szCs w:val="20"/>
              </w:rPr>
            </w:pPr>
            <w:r w:rsidRPr="00606525">
              <w:rPr>
                <w:color w:val="333333"/>
                <w:sz w:val="20"/>
                <w:szCs w:val="20"/>
              </w:rPr>
              <w:t>75%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188.5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0.003721</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0.720895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0.767187</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1.228535</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9.643017</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3.19E-09</w:t>
            </w:r>
          </w:p>
        </w:tc>
        <w:tc>
          <w:tcPr>
            <w:tcW w:w="1068" w:type="dxa"/>
            <w:tcBorders>
              <w:top w:val="nil"/>
              <w:left w:val="nil"/>
              <w:bottom w:val="nil"/>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0.645803</w:t>
            </w:r>
          </w:p>
        </w:tc>
      </w:tr>
      <w:tr w:rsidR="00A928D8" w:rsidRPr="00A928D8" w:rsidTr="00A928D8">
        <w:trPr>
          <w:trHeight w:val="294"/>
        </w:trPr>
        <w:tc>
          <w:tcPr>
            <w:tcW w:w="1068" w:type="dxa"/>
            <w:tcBorders>
              <w:top w:val="nil"/>
              <w:left w:val="nil"/>
              <w:bottom w:val="single" w:sz="4" w:space="0" w:color="auto"/>
              <w:right w:val="nil"/>
            </w:tcBorders>
            <w:shd w:val="clear" w:color="auto" w:fill="auto"/>
            <w:noWrap/>
            <w:vAlign w:val="bottom"/>
            <w:hideMark/>
          </w:tcPr>
          <w:p w:rsidR="00A928D8" w:rsidRPr="00606525" w:rsidRDefault="00A928D8" w:rsidP="00A928D8">
            <w:pPr>
              <w:rPr>
                <w:color w:val="333333"/>
                <w:sz w:val="20"/>
                <w:szCs w:val="20"/>
              </w:rPr>
            </w:pPr>
            <w:r w:rsidRPr="00606525">
              <w:rPr>
                <w:rFonts w:ascii="SimSun" w:eastAsia="SimSun" w:hAnsi="SimSun" w:cs="SimSun" w:hint="eastAsia"/>
                <w:color w:val="333333"/>
                <w:sz w:val="20"/>
                <w:szCs w:val="20"/>
              </w:rPr>
              <w:t>最大值</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251</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0.013284</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3.280499</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0.992189</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1.555733</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16.008292</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4.07E-05</w:t>
            </w:r>
          </w:p>
        </w:tc>
        <w:tc>
          <w:tcPr>
            <w:tcW w:w="1068" w:type="dxa"/>
            <w:tcBorders>
              <w:top w:val="nil"/>
              <w:left w:val="nil"/>
              <w:bottom w:val="single" w:sz="4" w:space="0" w:color="auto"/>
              <w:right w:val="nil"/>
            </w:tcBorders>
            <w:shd w:val="clear" w:color="auto" w:fill="auto"/>
            <w:noWrap/>
            <w:vAlign w:val="bottom"/>
            <w:hideMark/>
          </w:tcPr>
          <w:p w:rsidR="00A928D8" w:rsidRPr="00A928D8" w:rsidRDefault="00A928D8" w:rsidP="00A928D8">
            <w:pPr>
              <w:jc w:val="right"/>
              <w:rPr>
                <w:color w:val="333333"/>
                <w:sz w:val="20"/>
                <w:szCs w:val="20"/>
              </w:rPr>
            </w:pPr>
            <w:r w:rsidRPr="00A928D8">
              <w:rPr>
                <w:color w:val="333333"/>
                <w:sz w:val="20"/>
                <w:szCs w:val="20"/>
              </w:rPr>
              <w:t>0.83402</w:t>
            </w:r>
          </w:p>
        </w:tc>
      </w:tr>
    </w:tbl>
    <w:p w:rsidR="00A928D8" w:rsidRDefault="00A928D8" w:rsidP="00C3338D">
      <w:pPr>
        <w:spacing w:line="360" w:lineRule="auto"/>
        <w:rPr>
          <w:rFonts w:ascii="SimSun" w:eastAsia="SimSun" w:hAnsi="SimSun"/>
        </w:rPr>
      </w:pPr>
      <w:r>
        <w:rPr>
          <w:rFonts w:ascii="SimSun" w:eastAsia="SimSun" w:hAnsi="SimSun" w:hint="eastAsia"/>
        </w:rPr>
        <w:t>下表展示了针对</w:t>
      </w:r>
      <w:r>
        <w:rPr>
          <w:rFonts w:ascii="SimSun" w:eastAsia="SimSun" w:hAnsi="SimSun" w:hint="eastAsia"/>
        </w:rPr>
        <w:t>投资组合</w:t>
      </w:r>
      <w:r>
        <w:rPr>
          <w:rFonts w:ascii="SimSun" w:eastAsia="SimSun" w:hAnsi="SimSun" w:hint="eastAsia"/>
        </w:rPr>
        <w:t>的时间序列回归分析的简要结果：</w:t>
      </w:r>
    </w:p>
    <w:p w:rsidR="00A928D8" w:rsidRPr="00A928D8" w:rsidRDefault="00A928D8" w:rsidP="00C3338D">
      <w:pPr>
        <w:spacing w:line="360" w:lineRule="auto"/>
        <w:rPr>
          <w:rFonts w:ascii="SimSun" w:eastAsia="SimSun" w:hAnsi="SimSun" w:hint="eastAsia"/>
        </w:rPr>
      </w:pPr>
    </w:p>
    <w:p w:rsidR="00226324" w:rsidRDefault="00226324" w:rsidP="00226324">
      <w:pPr>
        <w:spacing w:line="360" w:lineRule="auto"/>
        <w:rPr>
          <w:rFonts w:ascii="SimSun" w:eastAsia="SimSun" w:hAnsi="SimSun"/>
        </w:rPr>
      </w:pPr>
      <w:r>
        <w:rPr>
          <w:rFonts w:ascii="SimSun" w:eastAsia="SimSun" w:hAnsi="SimSun" w:cstheme="minorBidi" w:hint="eastAsia"/>
        </w:rPr>
        <w:t>经过回归发现，投资组合相对单支股票对于</w:t>
      </w:r>
      <w:r w:rsidRPr="00226324">
        <w:rPr>
          <w:rFonts w:eastAsia="SimSun"/>
        </w:rPr>
        <w:t>CAPM</w:t>
      </w:r>
      <w:r>
        <w:rPr>
          <w:rFonts w:ascii="SimSun" w:eastAsia="SimSun" w:hAnsi="SimSun" w:cstheme="minorBidi" w:hint="eastAsia"/>
        </w:rPr>
        <w:t>有更明显的表现。其中有超过2</w:t>
      </w:r>
      <w:r>
        <w:rPr>
          <w:rFonts w:ascii="SimSun" w:eastAsia="SimSun" w:hAnsi="SimSun" w:cstheme="minorBidi"/>
        </w:rPr>
        <w:t>5%</w:t>
      </w:r>
      <w:r>
        <w:rPr>
          <w:rFonts w:ascii="SimSun" w:eastAsia="SimSun" w:hAnsi="SimSun" w:cstheme="minorBidi" w:hint="eastAsia"/>
        </w:rPr>
        <w:t>的</w:t>
      </w:r>
      <m:oMath>
        <m:sSub>
          <m:sSubPr>
            <m:ctrlPr>
              <w:rPr>
                <w:rFonts w:ascii="Cambria Math" w:eastAsia="SimSun" w:hAnsi="Cambria Math" w:cstheme="minorBidi"/>
                <w:i/>
              </w:rPr>
            </m:ctrlPr>
          </m:sSubPr>
          <m:e>
            <m:r>
              <w:rPr>
                <w:rFonts w:ascii="Cambria Math" w:eastAsia="SimSun" w:hAnsi="Cambria Math"/>
              </w:rPr>
              <m:t>α</m:t>
            </m:r>
          </m:e>
          <m:sub>
            <m:r>
              <w:rPr>
                <w:rFonts w:ascii="Cambria Math" w:eastAsia="SimSun" w:hAnsi="Cambria Math"/>
              </w:rPr>
              <m:t>i</m:t>
            </m:r>
          </m:sub>
        </m:sSub>
      </m:oMath>
      <w:r>
        <w:rPr>
          <w:rFonts w:ascii="SimSun" w:eastAsia="SimSun" w:hAnsi="SimSun" w:cstheme="minorBidi" w:hint="eastAsia"/>
        </w:rPr>
        <w:t>值的显著性均大于0</w:t>
      </w:r>
      <w:r>
        <w:rPr>
          <w:rFonts w:ascii="SimSun" w:eastAsia="SimSun" w:hAnsi="SimSun" w:cstheme="minorBidi"/>
        </w:rPr>
        <w:t>.28</w:t>
      </w:r>
      <w:r>
        <w:rPr>
          <w:rFonts w:ascii="SimSun" w:eastAsia="SimSun" w:hAnsi="SimSun" w:cstheme="minorBidi" w:hint="eastAsia"/>
        </w:rPr>
        <w:t>，只有1</w:t>
      </w:r>
      <w:r>
        <w:rPr>
          <w:rFonts w:ascii="SimSun" w:eastAsia="SimSun" w:hAnsi="SimSun" w:cstheme="minorBidi"/>
        </w:rPr>
        <w:t>9</w:t>
      </w:r>
      <w:r>
        <w:rPr>
          <w:rFonts w:ascii="SimSun" w:eastAsia="SimSun" w:hAnsi="SimSun" w:cstheme="minorBidi" w:hint="eastAsia"/>
        </w:rPr>
        <w:t>只投资组合，即7</w:t>
      </w:r>
      <w:r>
        <w:rPr>
          <w:rFonts w:ascii="SimSun" w:eastAsia="SimSun" w:hAnsi="SimSun" w:cstheme="minorBidi"/>
        </w:rPr>
        <w:t>%</w:t>
      </w:r>
      <w:r>
        <w:rPr>
          <w:rFonts w:ascii="SimSun" w:eastAsia="SimSun" w:hAnsi="SimSun" w:cstheme="minorBidi" w:hint="eastAsia"/>
        </w:rPr>
        <w:t>的投资组合表明</w:t>
      </w:r>
      <w:r>
        <w:rPr>
          <w:rFonts w:ascii="SimSun" w:eastAsia="SimSun" w:hAnsi="SimSun" w:hint="eastAsia"/>
        </w:rPr>
        <w:t>受到系统性风险以外的其他因素的影响。</w:t>
      </w:r>
      <w:r>
        <w:rPr>
          <w:rFonts w:ascii="SimSun" w:eastAsia="SimSun" w:hAnsi="SimSun" w:hint="eastAsia"/>
        </w:rPr>
        <w:t>同时，所有组合</w:t>
      </w:r>
      <w:r>
        <w:rPr>
          <w:rFonts w:ascii="SimSun" w:eastAsia="SimSun" w:hAnsi="SimSun" w:hint="eastAsia"/>
        </w:rPr>
        <w:t>在</w:t>
      </w:r>
      <w:r>
        <w:rPr>
          <w:rFonts w:ascii="SimSun" w:eastAsia="SimSun" w:hAnsi="SimSun"/>
        </w:rPr>
        <w:t>9</w:t>
      </w:r>
      <w:r>
        <w:rPr>
          <w:rFonts w:ascii="SimSun" w:eastAsia="SimSun" w:hAnsi="SimSun"/>
        </w:rPr>
        <w:t>9</w:t>
      </w:r>
      <w:r>
        <w:rPr>
          <w:rFonts w:ascii="SimSun" w:eastAsia="SimSun" w:hAnsi="SimSun"/>
        </w:rPr>
        <w:t>%</w:t>
      </w:r>
      <w:r>
        <w:rPr>
          <w:rFonts w:ascii="SimSun" w:eastAsia="SimSun" w:hAnsi="SimSun" w:hint="eastAsia"/>
        </w:rPr>
        <w:t>的可信度下都显著不为0，即个股收益率对市场收益率有</w:t>
      </w:r>
      <w:r>
        <w:rPr>
          <w:rFonts w:ascii="SimSun" w:eastAsia="SimSun" w:hAnsi="SimSun" w:hint="eastAsia"/>
        </w:rPr>
        <w:t>非常</w:t>
      </w:r>
      <w:r>
        <w:rPr>
          <w:rFonts w:ascii="SimSun" w:eastAsia="SimSun" w:hAnsi="SimSun" w:hint="eastAsia"/>
        </w:rPr>
        <w:t>好的正相关表现，体现了</w:t>
      </w:r>
      <w:r w:rsidRPr="008C1253">
        <w:rPr>
          <w:rFonts w:eastAsia="SimSun"/>
        </w:rPr>
        <w:t>CAPM</w:t>
      </w:r>
      <w:r>
        <w:rPr>
          <w:rFonts w:ascii="SimSun" w:eastAsia="SimSun" w:hAnsi="SimSun" w:hint="eastAsia"/>
        </w:rPr>
        <w:t>的有效性。</w:t>
      </w:r>
    </w:p>
    <w:p w:rsidR="00A928D8" w:rsidRDefault="00A928D8" w:rsidP="00226324">
      <w:pPr>
        <w:spacing w:line="360" w:lineRule="auto"/>
        <w:rPr>
          <w:rFonts w:eastAsia="SimSun"/>
        </w:rPr>
      </w:pPr>
      <w:r>
        <w:rPr>
          <w:rFonts w:ascii="SimSun" w:eastAsia="SimSun" w:hAnsi="SimSun" w:hint="eastAsia"/>
        </w:rPr>
        <w:lastRenderedPageBreak/>
        <w:t>此外，随着系统</w:t>
      </w:r>
      <w:r w:rsidR="00D01BF5">
        <w:rPr>
          <w:rFonts w:ascii="SimSun" w:eastAsia="SimSun" w:hAnsi="SimSun" w:hint="eastAsia"/>
        </w:rPr>
        <w:t>风险</w:t>
      </w:r>
      <w:r>
        <w:rPr>
          <w:rFonts w:ascii="SimSun" w:eastAsia="SimSun" w:hAnsi="SimSun" w:hint="eastAsia"/>
        </w:rPr>
        <w:t>系数的增加，</w:t>
      </w:r>
      <w:r w:rsidR="00D01BF5">
        <w:rPr>
          <w:rFonts w:ascii="SimSun" w:eastAsia="SimSun" w:hAnsi="SimSun" w:hint="eastAsia"/>
        </w:rPr>
        <w:t>回归结果显示</w:t>
      </w:r>
      <w:r w:rsidR="00D01BF5" w:rsidRPr="00226324">
        <w:rPr>
          <w:rFonts w:eastAsia="SimSun"/>
        </w:rPr>
        <w:t>R-squared</w:t>
      </w:r>
      <w:r w:rsidR="00D01BF5">
        <w:rPr>
          <w:rFonts w:eastAsia="SimSun" w:hint="eastAsia"/>
        </w:rPr>
        <w:t>并未同步增大，且普遍在</w:t>
      </w:r>
      <w:r w:rsidR="00D01BF5">
        <w:rPr>
          <w:rFonts w:eastAsia="SimSun" w:hint="eastAsia"/>
        </w:rPr>
        <w:t>0</w:t>
      </w:r>
      <w:r w:rsidR="00D01BF5">
        <w:rPr>
          <w:rFonts w:eastAsia="SimSun"/>
        </w:rPr>
        <w:t>.8</w:t>
      </w:r>
      <w:r w:rsidR="00F45E18">
        <w:rPr>
          <w:rFonts w:eastAsia="SimSun" w:hint="eastAsia"/>
        </w:rPr>
        <w:t>以</w:t>
      </w:r>
      <w:r w:rsidR="00D01BF5">
        <w:rPr>
          <w:rFonts w:eastAsia="SimSun" w:hint="eastAsia"/>
        </w:rPr>
        <w:t>下，表明组合</w:t>
      </w:r>
      <w:r w:rsidR="00D01BF5" w:rsidRPr="00D01BF5">
        <w:rPr>
          <w:rFonts w:eastAsia="SimSun" w:hint="eastAsia"/>
        </w:rPr>
        <w:t>收益受证券市场收益的影响</w:t>
      </w:r>
      <w:r w:rsidR="00D01BF5">
        <w:rPr>
          <w:rFonts w:eastAsia="SimSun" w:hint="eastAsia"/>
        </w:rPr>
        <w:t>以外仍受其他因素影响</w:t>
      </w:r>
      <w:r w:rsidR="00D01BF5" w:rsidRPr="00D01BF5">
        <w:rPr>
          <w:rFonts w:eastAsia="SimSun" w:hint="eastAsia"/>
        </w:rPr>
        <w:t>。</w:t>
      </w:r>
    </w:p>
    <w:tbl>
      <w:tblPr>
        <w:tblpPr w:leftFromText="180" w:rightFromText="180" w:vertAnchor="text" w:horzAnchor="margin" w:tblpY="383"/>
        <w:tblW w:w="9256" w:type="dxa"/>
        <w:tblLook w:val="04A0" w:firstRow="1" w:lastRow="0" w:firstColumn="1" w:lastColumn="0" w:noHBand="0" w:noVBand="1"/>
      </w:tblPr>
      <w:tblGrid>
        <w:gridCol w:w="1091"/>
        <w:gridCol w:w="1179"/>
        <w:gridCol w:w="1179"/>
        <w:gridCol w:w="1179"/>
        <w:gridCol w:w="1179"/>
        <w:gridCol w:w="1179"/>
        <w:gridCol w:w="1091"/>
        <w:gridCol w:w="1179"/>
      </w:tblGrid>
      <w:tr w:rsidR="00F45E18" w:rsidRPr="00F45E18" w:rsidTr="00F45E18">
        <w:trPr>
          <w:trHeight w:val="316"/>
        </w:trPr>
        <w:tc>
          <w:tcPr>
            <w:tcW w:w="1091"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Microsoft YaHei" w:eastAsia="Microsoft YaHei" w:hAnsi="Microsoft YaHei" w:cs="Microsoft YaHei" w:hint="eastAsia"/>
                <w:color w:val="000000"/>
                <w:sz w:val="20"/>
                <w:szCs w:val="20"/>
              </w:rPr>
              <w:t>投资组合</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Calibri" w:hAnsi="Calibri"/>
                <w:color w:val="000000"/>
                <w:sz w:val="20"/>
                <w:szCs w:val="20"/>
              </w:rPr>
              <w:t>alpha</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Calibri" w:hAnsi="Calibri"/>
                <w:color w:val="000000"/>
                <w:sz w:val="20"/>
                <w:szCs w:val="20"/>
              </w:rPr>
              <w:t>t</w:t>
            </w:r>
            <w:r w:rsidRPr="00F45E18">
              <w:rPr>
                <w:rFonts w:ascii="Microsoft YaHei" w:eastAsia="Microsoft YaHei" w:hAnsi="Microsoft YaHei" w:cs="Microsoft YaHei" w:hint="eastAsia"/>
                <w:color w:val="000000"/>
                <w:sz w:val="20"/>
                <w:szCs w:val="20"/>
              </w:rPr>
              <w:t>值</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Microsoft YaHei" w:eastAsia="Microsoft YaHei" w:hAnsi="Microsoft YaHei" w:cs="Microsoft YaHei" w:hint="eastAsia"/>
                <w:color w:val="000000"/>
                <w:sz w:val="20"/>
                <w:szCs w:val="20"/>
              </w:rPr>
              <w:t>显著值</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Calibri" w:hAnsi="Calibri"/>
                <w:color w:val="000000"/>
                <w:sz w:val="20"/>
                <w:szCs w:val="20"/>
              </w:rPr>
              <w:t>beta</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Calibri" w:hAnsi="Calibri"/>
                <w:color w:val="000000"/>
                <w:sz w:val="20"/>
                <w:szCs w:val="20"/>
              </w:rPr>
              <w:t>t</w:t>
            </w:r>
            <w:r w:rsidRPr="00F45E18">
              <w:rPr>
                <w:rFonts w:ascii="Microsoft YaHei" w:eastAsia="Microsoft YaHei" w:hAnsi="Microsoft YaHei" w:cs="Microsoft YaHei" w:hint="eastAsia"/>
                <w:color w:val="000000"/>
                <w:sz w:val="20"/>
                <w:szCs w:val="20"/>
              </w:rPr>
              <w:t>值</w:t>
            </w:r>
          </w:p>
        </w:tc>
        <w:tc>
          <w:tcPr>
            <w:tcW w:w="1091"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Microsoft YaHei" w:eastAsia="Microsoft YaHei" w:hAnsi="Microsoft YaHei" w:cs="Microsoft YaHei" w:hint="eastAsia"/>
                <w:color w:val="000000"/>
                <w:sz w:val="20"/>
                <w:szCs w:val="20"/>
              </w:rPr>
              <w:t>显著值</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rPr>
                <w:rFonts w:ascii="Calibri" w:hAnsi="Calibri"/>
                <w:color w:val="000000"/>
                <w:sz w:val="20"/>
                <w:szCs w:val="20"/>
              </w:rPr>
            </w:pPr>
            <w:r w:rsidRPr="00F45E18">
              <w:rPr>
                <w:rFonts w:ascii="Calibri" w:hAnsi="Calibri"/>
                <w:color w:val="000000"/>
                <w:sz w:val="20"/>
                <w:szCs w:val="20"/>
              </w:rPr>
              <w:t>R^2</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0.01051636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0.89688211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0.37399613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1.55573296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4.67298578</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2.20E-05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0.29980446</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0.01078269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1.11401452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0.27049566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1.5536762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5.65345047</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7.12E-07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0.38525703</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251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0.01328427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1.75930624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0.08452341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1.53088611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7.14062116</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3.26E-09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0.49994348</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0.01209418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1.68287769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0.09851186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1.50401803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7.37087056</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1.41E-09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0.51580623</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0.0087238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1.55897229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0.12518745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1.49613071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9.41654251</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9.61E-13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0.63485691</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0.01141647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1.54168451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0.12933285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1.48048128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7.04135081</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4.68E-09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0.49294407</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0.00795226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1.16242285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0.25047451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1.47322102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7.58457288</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6.51E-10</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0.53006543</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10</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0.01030184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1.22551167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0.22601194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1.47196955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6.16724252</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1.12E-07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0.42719078</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0.00769299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1.14845182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0.2561403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1.47023511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7.73025304</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3.84E-10</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0.53953171</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0.00923294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1.3409772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0.18586997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1.44024337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7.36727249</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1.43E-09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0.51556234</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216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0.01009121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2.38665525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0.02074987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1.42451175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11.865931</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2.76E-16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0.73409846</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250</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0.01111002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1.30338654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0.19829634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1.42083127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5.87070825</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3.27E-07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0.403266</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53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0.00733058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1.2320508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0.22358038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1.41418817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8.37118393</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3.84E-11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0.57877947</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0.01164564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1.55747386</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0.12554248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1.41251791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6.65335415</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1.92E-08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0.46466316</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69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0.00725631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1.13835975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0.26028965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1.39291988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7.69624744</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4.35E-10</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0.53734037</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48</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0.00784642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1.35352587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0.18185642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1.38707663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8.42722894</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3.14E-11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0.58202952</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0.00878503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1.10454411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0.2745412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1.3752122</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6.08974418</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1.48E-07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0.42101369</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213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0.01244955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3.28049857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0.00187241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1.36167763</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12.6371692</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2.47E-17</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0.75794745</w:t>
            </w:r>
          </w:p>
        </w:tc>
      </w:tr>
      <w:tr w:rsidR="00F45E18" w:rsidRPr="00F45E18" w:rsidTr="00F45E18">
        <w:trPr>
          <w:trHeight w:val="316"/>
        </w:trPr>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59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0.00641651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1.10881745</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0.27271049</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1.36094541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8.2830646</w:t>
            </w:r>
          </w:p>
        </w:tc>
        <w:tc>
          <w:tcPr>
            <w:tcW w:w="1091"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5.26E-11</w:t>
            </w:r>
          </w:p>
        </w:tc>
        <w:tc>
          <w:tcPr>
            <w:tcW w:w="1179" w:type="dxa"/>
            <w:tcBorders>
              <w:top w:val="nil"/>
              <w:left w:val="nil"/>
              <w:bottom w:val="nil"/>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0.57361125</w:t>
            </w:r>
          </w:p>
        </w:tc>
      </w:tr>
      <w:tr w:rsidR="00F45E18" w:rsidRPr="00F45E18" w:rsidTr="00F45E18">
        <w:trPr>
          <w:trHeight w:val="316"/>
        </w:trPr>
        <w:tc>
          <w:tcPr>
            <w:tcW w:w="1091"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49</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0.00719372</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1.17640195</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0.2448962</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1.35918508</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7.82835058</w:t>
            </w:r>
          </w:p>
        </w:tc>
        <w:tc>
          <w:tcPr>
            <w:tcW w:w="1091"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2.70E-10</w:t>
            </w:r>
          </w:p>
        </w:tc>
        <w:tc>
          <w:tcPr>
            <w:tcW w:w="1179" w:type="dxa"/>
            <w:tcBorders>
              <w:top w:val="nil"/>
              <w:left w:val="nil"/>
              <w:bottom w:val="single" w:sz="4" w:space="0" w:color="auto"/>
              <w:right w:val="nil"/>
            </w:tcBorders>
            <w:shd w:val="clear" w:color="auto" w:fill="auto"/>
            <w:noWrap/>
            <w:vAlign w:val="bottom"/>
            <w:hideMark/>
          </w:tcPr>
          <w:p w:rsidR="00F45E18" w:rsidRPr="00F45E18" w:rsidRDefault="00F45E18" w:rsidP="00F45E18">
            <w:pPr>
              <w:jc w:val="right"/>
              <w:rPr>
                <w:rFonts w:ascii="Calibri" w:hAnsi="Calibri"/>
                <w:color w:val="000000"/>
                <w:sz w:val="20"/>
                <w:szCs w:val="20"/>
              </w:rPr>
            </w:pPr>
            <w:r w:rsidRPr="00F45E18">
              <w:rPr>
                <w:rFonts w:ascii="Calibri" w:hAnsi="Calibri"/>
                <w:color w:val="000000"/>
                <w:sz w:val="20"/>
                <w:szCs w:val="20"/>
              </w:rPr>
              <w:t>0.54579084</w:t>
            </w:r>
          </w:p>
        </w:tc>
      </w:tr>
    </w:tbl>
    <w:p w:rsidR="0091206C" w:rsidRDefault="00D01BF5" w:rsidP="00C3338D">
      <w:pPr>
        <w:spacing w:line="360" w:lineRule="auto"/>
        <w:rPr>
          <w:rFonts w:ascii="SimSun" w:eastAsia="SimSun" w:hAnsi="SimSun"/>
        </w:rPr>
      </w:pPr>
      <w:r>
        <w:rPr>
          <w:rFonts w:eastAsia="SimSun" w:hint="eastAsia"/>
        </w:rPr>
        <w:t>下表展示了按照系统风险系数排序的</w:t>
      </w:r>
      <w:r>
        <w:rPr>
          <w:rFonts w:ascii="SimSun" w:eastAsia="SimSun" w:hAnsi="SimSun" w:hint="eastAsia"/>
        </w:rPr>
        <w:t>部分回归结果：</w:t>
      </w:r>
    </w:p>
    <w:p w:rsidR="00D01BF5" w:rsidRDefault="00D01BF5" w:rsidP="00C3338D">
      <w:pPr>
        <w:spacing w:line="360" w:lineRule="auto"/>
        <w:rPr>
          <w:rFonts w:ascii="SimSun" w:eastAsia="SimSun" w:hAnsi="SimSun"/>
        </w:rPr>
      </w:pPr>
    </w:p>
    <w:p w:rsidR="002936F0" w:rsidRDefault="002936F0" w:rsidP="002936F0">
      <w:pPr>
        <w:spacing w:line="360" w:lineRule="auto"/>
        <w:rPr>
          <w:rFonts w:ascii="SimSun" w:eastAsia="SimSun" w:hAnsi="SimSun" w:cstheme="minorBidi"/>
        </w:rPr>
      </w:pPr>
      <w:r>
        <w:rPr>
          <w:rFonts w:ascii="SimSun" w:eastAsia="SimSun" w:hAnsi="SimSun" w:cstheme="minorBidi" w:hint="eastAsia"/>
        </w:rPr>
        <w:t>（</w:t>
      </w:r>
      <w:r>
        <w:rPr>
          <w:rFonts w:ascii="SimSun" w:eastAsia="SimSun" w:hAnsi="SimSun" w:cstheme="minorBidi" w:hint="eastAsia"/>
        </w:rPr>
        <w:t>三</w:t>
      </w:r>
      <w:r>
        <w:rPr>
          <w:rFonts w:ascii="SimSun" w:eastAsia="SimSun" w:hAnsi="SimSun" w:cstheme="minorBidi" w:hint="eastAsia"/>
        </w:rPr>
        <w:t>）</w:t>
      </w:r>
      <w:r w:rsidRPr="002936F0">
        <w:rPr>
          <w:rFonts w:eastAsia="SimSun"/>
        </w:rPr>
        <w:t>CAPM</w:t>
      </w:r>
      <w:r>
        <w:rPr>
          <w:rFonts w:ascii="SimSun" w:eastAsia="SimSun" w:hAnsi="SimSun" w:cstheme="minorBidi" w:hint="eastAsia"/>
        </w:rPr>
        <w:t>的横截面回归</w:t>
      </w:r>
    </w:p>
    <w:p w:rsidR="002936F0" w:rsidRDefault="00D41C44" w:rsidP="002936F0">
      <w:pPr>
        <w:spacing w:line="360" w:lineRule="auto"/>
        <w:rPr>
          <w:rFonts w:ascii="SimSun" w:eastAsia="SimSun" w:hAnsi="SimSun"/>
        </w:rPr>
      </w:pPr>
      <w:r>
        <w:rPr>
          <w:rFonts w:ascii="SimSun" w:eastAsia="SimSun" w:hAnsi="SimSun" w:cstheme="minorBidi" w:hint="eastAsia"/>
        </w:rPr>
        <w:t>根据第三部分</w:t>
      </w:r>
      <w:r w:rsidR="0007273B">
        <w:rPr>
          <w:rFonts w:ascii="SimSun" w:eastAsia="SimSun" w:hAnsi="SimSun" w:cstheme="minorBidi" w:hint="eastAsia"/>
        </w:rPr>
        <w:t>时间，</w:t>
      </w:r>
      <w:r w:rsidR="0007273B">
        <w:rPr>
          <w:rFonts w:ascii="SimSun" w:eastAsia="SimSun" w:hAnsi="SimSun" w:hint="eastAsia"/>
        </w:rPr>
        <w:t>2</w:t>
      </w:r>
      <w:r w:rsidR="0007273B">
        <w:rPr>
          <w:rFonts w:ascii="SimSun" w:eastAsia="SimSun" w:hAnsi="SimSun"/>
        </w:rPr>
        <w:t>018</w:t>
      </w:r>
      <w:r w:rsidR="0007273B">
        <w:rPr>
          <w:rFonts w:ascii="SimSun" w:eastAsia="SimSun" w:hAnsi="SimSun" w:hint="eastAsia"/>
        </w:rPr>
        <w:t>年第3</w:t>
      </w:r>
      <w:r w:rsidR="0007273B">
        <w:rPr>
          <w:rFonts w:ascii="SimSun" w:eastAsia="SimSun" w:hAnsi="SimSun"/>
        </w:rPr>
        <w:t>9</w:t>
      </w:r>
      <w:r w:rsidR="0007273B">
        <w:rPr>
          <w:rFonts w:ascii="SimSun" w:eastAsia="SimSun" w:hAnsi="SimSun" w:hint="eastAsia"/>
        </w:rPr>
        <w:t>周至2</w:t>
      </w:r>
      <w:r w:rsidR="0007273B">
        <w:rPr>
          <w:rFonts w:ascii="SimSun" w:eastAsia="SimSun" w:hAnsi="SimSun"/>
        </w:rPr>
        <w:t>019</w:t>
      </w:r>
      <w:r w:rsidR="0007273B">
        <w:rPr>
          <w:rFonts w:ascii="SimSun" w:eastAsia="SimSun" w:hAnsi="SimSun" w:hint="eastAsia"/>
        </w:rPr>
        <w:t>年最后一周</w:t>
      </w:r>
      <w:r w:rsidR="0007273B">
        <w:rPr>
          <w:rFonts w:ascii="SimSun" w:eastAsia="SimSun" w:hAnsi="SimSun" w:hint="eastAsia"/>
        </w:rPr>
        <w:t>，将第二组划分的投资组合总结其阶段下的平均收益，即：</w:t>
      </w:r>
    </w:p>
    <w:p w:rsidR="0007273B" w:rsidRDefault="0007273B" w:rsidP="002936F0">
      <w:pPr>
        <w:spacing w:line="360" w:lineRule="auto"/>
        <w:rPr>
          <w:rFonts w:ascii="SimSun" w:eastAsia="SimSun" w:hAnsi="SimSun" w:cstheme="minorBidi" w:hint="eastAsia"/>
        </w:rPr>
      </w:pPr>
      <m:oMathPara>
        <m:oMath>
          <m:sSub>
            <m:sSubPr>
              <m:ctrlPr>
                <w:rPr>
                  <w:rFonts w:ascii="Cambria Math" w:eastAsia="SimSun" w:hAnsi="Cambria Math" w:cstheme="minorBidi"/>
                </w:rPr>
              </m:ctrlPr>
            </m:sSubPr>
            <m:e>
              <m:r>
                <w:rPr>
                  <w:rFonts w:ascii="Cambria Math" w:eastAsia="SimSun" w:hAnsi="Cambria Math" w:cstheme="minorBidi"/>
                </w:rPr>
                <m:t>r</m:t>
              </m:r>
            </m:e>
            <m:sub>
              <m:r>
                <w:rPr>
                  <w:rFonts w:ascii="Cambria Math" w:eastAsia="SimSun" w:hAnsi="Cambria Math" w:cstheme="minorBidi"/>
                </w:rPr>
                <m:t>p</m:t>
              </m:r>
            </m:sub>
          </m:sSub>
          <m:r>
            <w:rPr>
              <w:rFonts w:ascii="Cambria Math" w:eastAsia="SimSun" w:hAnsi="Cambria Math" w:cstheme="minorBidi"/>
            </w:rPr>
            <m:t>=</m:t>
          </m:r>
          <m:f>
            <m:fPr>
              <m:ctrlPr>
                <w:rPr>
                  <w:rFonts w:ascii="Cambria Math" w:eastAsia="SimSun" w:hAnsi="Cambria Math" w:cstheme="minorBidi"/>
                  <w:i/>
                </w:rPr>
              </m:ctrlPr>
            </m:fPr>
            <m:num>
              <m:r>
                <w:rPr>
                  <w:rFonts w:ascii="Cambria Math" w:eastAsia="SimSun" w:hAnsi="Cambria Math" w:cstheme="minorBidi"/>
                </w:rPr>
                <m:t>1</m:t>
              </m:r>
            </m:num>
            <m:den>
              <m:r>
                <w:rPr>
                  <w:rFonts w:ascii="Cambria Math" w:eastAsia="SimSun" w:hAnsi="Cambria Math" w:cstheme="minorBidi" w:hint="eastAsia"/>
                </w:rPr>
                <m:t>T</m:t>
              </m:r>
            </m:den>
          </m:f>
          <m:nary>
            <m:naryPr>
              <m:chr m:val="∑"/>
              <m:limLoc m:val="undOvr"/>
              <m:ctrlPr>
                <w:rPr>
                  <w:rFonts w:ascii="Cambria Math" w:eastAsia="SimSun" w:hAnsi="Cambria Math" w:cstheme="minorBidi"/>
                  <w:i/>
                </w:rPr>
              </m:ctrlPr>
            </m:naryPr>
            <m:sub>
              <m:r>
                <w:rPr>
                  <w:rFonts w:ascii="Cambria Math" w:eastAsia="SimSun" w:hAnsi="Cambria Math" w:cstheme="minorBidi"/>
                </w:rPr>
                <m:t>i=1</m:t>
              </m:r>
            </m:sub>
            <m:sup>
              <m:r>
                <w:rPr>
                  <w:rFonts w:ascii="Cambria Math" w:eastAsia="SimSun" w:hAnsi="Cambria Math" w:cstheme="minorBidi"/>
                </w:rPr>
                <m:t>T</m:t>
              </m:r>
            </m:sup>
            <m:e>
              <m:sSub>
                <m:sSubPr>
                  <m:ctrlPr>
                    <w:rPr>
                      <w:rFonts w:ascii="Cambria Math" w:eastAsia="SimSun" w:hAnsi="Cambria Math" w:cstheme="minorBidi"/>
                      <w:i/>
                    </w:rPr>
                  </m:ctrlPr>
                </m:sSubPr>
                <m:e>
                  <m:r>
                    <w:rPr>
                      <w:rFonts w:ascii="Cambria Math" w:eastAsia="SimSun" w:hAnsi="Cambria Math" w:cstheme="minorBidi"/>
                    </w:rPr>
                    <m:t>r</m:t>
                  </m:r>
                </m:e>
                <m:sub>
                  <m:r>
                    <w:rPr>
                      <w:rFonts w:ascii="Cambria Math" w:eastAsia="SimSun" w:hAnsi="Cambria Math" w:cstheme="minorBidi"/>
                    </w:rPr>
                    <m:t>i</m:t>
                  </m:r>
                </m:sub>
              </m:sSub>
            </m:e>
          </m:nary>
        </m:oMath>
      </m:oMathPara>
    </w:p>
    <w:p w:rsidR="00F45E18" w:rsidRDefault="00BE1D8C" w:rsidP="00C3338D">
      <w:pPr>
        <w:spacing w:line="360" w:lineRule="auto"/>
        <w:rPr>
          <w:rFonts w:ascii="SimSun" w:eastAsia="SimSun" w:hAnsi="SimSun"/>
        </w:rPr>
      </w:pPr>
      <w:r>
        <w:rPr>
          <w:rFonts w:ascii="SimSun" w:eastAsia="SimSun" w:hAnsi="SimSun" w:hint="eastAsia"/>
        </w:rPr>
        <w:t>然后将平均收益与对应的系统风险系数进行回归，采用：</w:t>
      </w:r>
    </w:p>
    <w:p w:rsidR="00BE1D8C" w:rsidRPr="00A04196" w:rsidRDefault="00BE1D8C" w:rsidP="00BE1D8C">
      <w:pPr>
        <w:spacing w:line="360" w:lineRule="auto"/>
        <w:rPr>
          <w:rFonts w:ascii="SimSun" w:eastAsia="SimSun" w:hAnsi="SimSun"/>
        </w:rPr>
      </w:pPr>
      <m:oMathPara>
        <m:oMath>
          <m:sSub>
            <m:sSubPr>
              <m:ctrlPr>
                <w:rPr>
                  <w:rFonts w:ascii="Cambria Math" w:eastAsia="SimSun" w:hAnsi="Cambria Math" w:cstheme="minorBidi"/>
                </w:rPr>
              </m:ctrlPr>
            </m:sSubPr>
            <m:e>
              <m:r>
                <w:rPr>
                  <w:rFonts w:ascii="Cambria Math" w:eastAsia="SimSun" w:hAnsi="Cambria Math" w:hint="eastAsia"/>
                </w:rPr>
                <m:t>r</m:t>
              </m:r>
            </m:e>
            <m:sub>
              <m:r>
                <w:rPr>
                  <w:rFonts w:ascii="Cambria Math" w:eastAsia="SimSun" w:hAnsi="Cambria Math" w:hint="eastAsia"/>
                </w:rPr>
                <m:t>p</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γ</m:t>
              </m:r>
            </m:e>
            <m:sub>
              <m:r>
                <w:rPr>
                  <w:rFonts w:ascii="Cambria Math" w:eastAsia="SimSun" w:hAnsi="Cambria Math" w:cstheme="minorBidi"/>
                </w:rPr>
                <m:t>0</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γ</m:t>
              </m:r>
            </m:e>
            <m:sub>
              <m:r>
                <w:rPr>
                  <w:rFonts w:ascii="Cambria Math" w:eastAsia="SimSun" w:hAnsi="Cambria Math"/>
                </w:rPr>
                <m:t>1</m:t>
              </m:r>
            </m:sub>
          </m:sSub>
          <m:sSub>
            <m:sSubPr>
              <m:ctrlPr>
                <w:rPr>
                  <w:rFonts w:ascii="Cambria Math" w:eastAsia="SimSun" w:hAnsi="Cambria Math" w:cstheme="minorBidi"/>
                  <w:i/>
                </w:rPr>
              </m:ctrlPr>
            </m:sSubPr>
            <m:e>
              <m:r>
                <w:rPr>
                  <w:rFonts w:ascii="Cambria Math" w:eastAsia="SimSun" w:hAnsi="Cambria Math"/>
                </w:rPr>
                <m:t>β</m:t>
              </m:r>
            </m:e>
            <m:sub>
              <m:r>
                <w:rPr>
                  <w:rFonts w:ascii="Cambria Math" w:eastAsia="SimSun" w:hAnsi="Cambria Math"/>
                </w:rPr>
                <m:t>p</m:t>
              </m:r>
            </m:sub>
          </m:sSub>
          <m:r>
            <w:rPr>
              <w:rFonts w:ascii="Cambria Math" w:eastAsia="SimSun" w:hAnsi="Cambria Math"/>
            </w:rPr>
            <m:t>+</m:t>
          </m:r>
          <m:sSub>
            <m:sSubPr>
              <m:ctrlPr>
                <w:rPr>
                  <w:rFonts w:ascii="Cambria Math" w:eastAsia="SimSun" w:hAnsi="Cambria Math" w:cstheme="minorBidi"/>
                  <w:i/>
                </w:rPr>
              </m:ctrlPr>
            </m:sSubPr>
            <m:e>
              <m:r>
                <w:rPr>
                  <w:rFonts w:ascii="Cambria Math" w:eastAsia="SimSun" w:hAnsi="Cambria Math"/>
                </w:rPr>
                <m:t>ε</m:t>
              </m:r>
            </m:e>
            <m:sub>
              <m:r>
                <w:rPr>
                  <w:rFonts w:ascii="Cambria Math" w:eastAsia="SimSun" w:hAnsi="Cambria Math"/>
                </w:rPr>
                <m:t>p</m:t>
              </m:r>
            </m:sub>
          </m:sSub>
        </m:oMath>
      </m:oMathPara>
    </w:p>
    <w:p w:rsidR="00F11DFC" w:rsidRDefault="00F11DFC" w:rsidP="00C3338D">
      <w:pPr>
        <w:spacing w:line="360" w:lineRule="auto"/>
        <w:rPr>
          <w:rFonts w:ascii="SimSun" w:eastAsia="SimSun" w:hAnsi="SimSun" w:hint="eastAsia"/>
        </w:rPr>
      </w:pPr>
      <w:r>
        <w:rPr>
          <w:rFonts w:ascii="SimSun" w:eastAsia="SimSun" w:hAnsi="SimSun" w:hint="eastAsia"/>
        </w:rPr>
        <w:t>根据横截面回归，可以发现回归中</w:t>
      </w:r>
      <m:oMath>
        <m:sSub>
          <m:sSubPr>
            <m:ctrlPr>
              <w:rPr>
                <w:rFonts w:ascii="Cambria Math" w:eastAsia="SimSun" w:hAnsi="Cambria Math"/>
                <w:i/>
              </w:rPr>
            </m:ctrlPr>
          </m:sSubPr>
          <m:e>
            <m:r>
              <w:rPr>
                <w:rFonts w:ascii="Cambria Math" w:eastAsia="SimSun" w:hAnsi="Cambria Math"/>
              </w:rPr>
              <m:t>γ</m:t>
            </m:r>
          </m:e>
          <m:sub>
            <m:r>
              <w:rPr>
                <w:rFonts w:ascii="Cambria Math" w:eastAsia="SimSun" w:hAnsi="Cambria Math"/>
              </w:rPr>
              <m:t>1</m:t>
            </m:r>
          </m:sub>
        </m:sSub>
      </m:oMath>
      <w:r>
        <w:rPr>
          <w:rFonts w:ascii="SimSun" w:eastAsia="SimSun" w:hAnsi="SimSun" w:hint="eastAsia"/>
        </w:rPr>
        <w:t>非常显著，说明投资组合收益率与系统性风险系数影响非常显著，同时，结合非常显著的</w:t>
      </w:r>
      <m:oMath>
        <m:sSub>
          <m:sSubPr>
            <m:ctrlPr>
              <w:rPr>
                <w:rFonts w:ascii="Cambria Math" w:eastAsia="SimSun" w:hAnsi="Cambria Math" w:cstheme="minorBidi"/>
                <w:i/>
              </w:rPr>
            </m:ctrlPr>
          </m:sSubPr>
          <m:e>
            <m:r>
              <w:rPr>
                <w:rFonts w:ascii="Cambria Math" w:eastAsia="SimSun" w:hAnsi="Cambria Math"/>
              </w:rPr>
              <m:t>γ</m:t>
            </m:r>
          </m:e>
          <m:sub>
            <m:r>
              <w:rPr>
                <w:rFonts w:ascii="Cambria Math" w:eastAsia="SimSun" w:hAnsi="Cambria Math" w:cstheme="minorBidi"/>
              </w:rPr>
              <m:t>0</m:t>
            </m:r>
          </m:sub>
        </m:sSub>
      </m:oMath>
      <w:r>
        <w:rPr>
          <w:rFonts w:ascii="SimSun" w:eastAsia="SimSun" w:hAnsi="SimSun" w:hint="eastAsia"/>
        </w:rPr>
        <w:t>和决定系数</w:t>
      </w:r>
      <w:r w:rsidRPr="00226324">
        <w:rPr>
          <w:rFonts w:eastAsia="SimSun"/>
        </w:rPr>
        <w:t>R-squared</w:t>
      </w:r>
      <w:r>
        <w:rPr>
          <w:rFonts w:eastAsia="SimSun" w:hint="eastAsia"/>
        </w:rPr>
        <w:t>可以发现，投资组合受除了系统风险系数影响，同样受到其他因素的影响。这说明了在</w:t>
      </w:r>
      <w:r>
        <w:rPr>
          <w:rFonts w:eastAsia="SimSun" w:hint="eastAsia"/>
        </w:rPr>
        <w:t>A</w:t>
      </w:r>
      <w:r>
        <w:rPr>
          <w:rFonts w:eastAsia="SimSun" w:hint="eastAsia"/>
        </w:rPr>
        <w:t>股市场中，</w:t>
      </w:r>
      <w:r>
        <w:rPr>
          <w:rFonts w:eastAsia="SimSun" w:hint="eastAsia"/>
        </w:rPr>
        <w:t>C</w:t>
      </w:r>
      <w:r>
        <w:rPr>
          <w:rFonts w:eastAsia="SimSun"/>
        </w:rPr>
        <w:t>APM</w:t>
      </w:r>
      <w:r>
        <w:rPr>
          <w:rFonts w:eastAsia="SimSun" w:hint="eastAsia"/>
        </w:rPr>
        <w:t>的表现较为显著，但是在此之外，同样有其他因素对投资组合收益率产生了较大影响。</w:t>
      </w:r>
    </w:p>
    <w:p w:rsidR="00BE1D8C" w:rsidRDefault="00F11DFC" w:rsidP="00C3338D">
      <w:pPr>
        <w:spacing w:line="360" w:lineRule="auto"/>
        <w:rPr>
          <w:rFonts w:ascii="SimSun" w:eastAsia="SimSun" w:hAnsi="SimSun"/>
        </w:rPr>
      </w:pPr>
      <w:r>
        <w:rPr>
          <w:rFonts w:ascii="SimSun" w:eastAsia="SimSun" w:hAnsi="SimSun" w:hint="eastAsia"/>
        </w:rPr>
        <w:lastRenderedPageBreak/>
        <w:t>下图展示了横截面回归结果：</w:t>
      </w:r>
    </w:p>
    <w:p w:rsidR="00F11DFC" w:rsidRDefault="00F11DFC" w:rsidP="00C3338D">
      <w:pPr>
        <w:spacing w:line="360" w:lineRule="auto"/>
        <w:rPr>
          <w:rFonts w:ascii="SimSun" w:eastAsia="SimSun" w:hAnsi="SimSun"/>
        </w:rPr>
      </w:pPr>
      <w:r>
        <w:rPr>
          <w:rFonts w:ascii="SimSun" w:eastAsia="SimSun" w:hAnsi="SimSun" w:hint="eastAsia"/>
          <w:noProof/>
        </w:rPr>
        <w:drawing>
          <wp:inline distT="0" distB="0" distL="0" distR="0">
            <wp:extent cx="5727700" cy="2167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1 at 12.21.44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167890"/>
                    </a:xfrm>
                    <a:prstGeom prst="rect">
                      <a:avLst/>
                    </a:prstGeom>
                  </pic:spPr>
                </pic:pic>
              </a:graphicData>
            </a:graphic>
          </wp:inline>
        </w:drawing>
      </w:r>
    </w:p>
    <w:p w:rsidR="00F11DFC" w:rsidRDefault="00F11DFC" w:rsidP="00C3338D">
      <w:pPr>
        <w:spacing w:line="360" w:lineRule="auto"/>
        <w:rPr>
          <w:rFonts w:ascii="SimSun" w:eastAsia="SimSun" w:hAnsi="SimSun"/>
        </w:rPr>
      </w:pPr>
      <w:r>
        <w:rPr>
          <w:rFonts w:ascii="SimSun" w:eastAsia="SimSun" w:hAnsi="SimSun" w:hint="eastAsia"/>
          <w:noProof/>
        </w:rPr>
        <w:drawing>
          <wp:anchor distT="0" distB="0" distL="114300" distR="114300" simplePos="0" relativeHeight="251658240" behindDoc="0" locked="0" layoutInCell="1" allowOverlap="1">
            <wp:simplePos x="0" y="0"/>
            <wp:positionH relativeFrom="column">
              <wp:posOffset>613064</wp:posOffset>
            </wp:positionH>
            <wp:positionV relativeFrom="paragraph">
              <wp:posOffset>300857</wp:posOffset>
            </wp:positionV>
            <wp:extent cx="4244238" cy="4000500"/>
            <wp:effectExtent l="0" t="0" r="0" b="0"/>
            <wp:wrapThrough wrapText="bothSides">
              <wp:wrapPolygon edited="0">
                <wp:start x="0" y="0"/>
                <wp:lineTo x="0" y="21531"/>
                <wp:lineTo x="21526" y="21531"/>
                <wp:lineTo x="215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11 at 10.57.3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4238" cy="4000500"/>
                    </a:xfrm>
                    <a:prstGeom prst="rect">
                      <a:avLst/>
                    </a:prstGeom>
                  </pic:spPr>
                </pic:pic>
              </a:graphicData>
            </a:graphic>
            <wp14:sizeRelH relativeFrom="page">
              <wp14:pctWidth>0</wp14:pctWidth>
            </wp14:sizeRelH>
            <wp14:sizeRelV relativeFrom="page">
              <wp14:pctHeight>0</wp14:pctHeight>
            </wp14:sizeRelV>
          </wp:anchor>
        </w:drawing>
      </w:r>
      <w:r>
        <w:rPr>
          <w:rFonts w:ascii="SimSun" w:eastAsia="SimSun" w:hAnsi="SimSun" w:hint="eastAsia"/>
        </w:rPr>
        <w:t>下图为以系统风险系数为横轴，投资组合收益率为纵轴建立的坐标系和回归表现。</w:t>
      </w:r>
    </w:p>
    <w:p w:rsidR="00F11DFC" w:rsidRDefault="00F11DFC" w:rsidP="00C3338D">
      <w:pPr>
        <w:spacing w:line="360" w:lineRule="auto"/>
        <w:rPr>
          <w:rFonts w:ascii="SimSun" w:eastAsia="SimSun" w:hAnsi="SimSun"/>
        </w:rPr>
      </w:pPr>
    </w:p>
    <w:p w:rsidR="00F11DFC" w:rsidRDefault="00F11DFC" w:rsidP="00C3338D">
      <w:pPr>
        <w:spacing w:line="360" w:lineRule="auto"/>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11DFC" w:rsidRPr="00F11DFC" w:rsidRDefault="00F11DFC" w:rsidP="00F11DFC">
      <w:pPr>
        <w:rPr>
          <w:rFonts w:ascii="SimSun" w:eastAsia="SimSun" w:hAnsi="SimSun" w:hint="eastAsia"/>
        </w:rPr>
      </w:pPr>
    </w:p>
    <w:p w:rsidR="00FF100C" w:rsidRDefault="00FF100C" w:rsidP="00FF100C">
      <w:pPr>
        <w:spacing w:line="360" w:lineRule="auto"/>
        <w:jc w:val="center"/>
        <w:rPr>
          <w:rFonts w:ascii="SimSun" w:eastAsia="SimSun" w:hAnsi="SimSun"/>
          <w:b/>
          <w:bCs/>
          <w:sz w:val="28"/>
          <w:szCs w:val="28"/>
        </w:rPr>
      </w:pPr>
      <w:r>
        <w:rPr>
          <w:rFonts w:ascii="SimSun" w:eastAsia="SimSun" w:hAnsi="SimSun" w:hint="eastAsia"/>
          <w:b/>
          <w:bCs/>
          <w:sz w:val="28"/>
          <w:szCs w:val="28"/>
        </w:rPr>
        <w:t>五</w:t>
      </w:r>
      <w:r w:rsidRPr="00A04196">
        <w:rPr>
          <w:rFonts w:ascii="SimSun" w:eastAsia="SimSun" w:hAnsi="SimSun" w:hint="eastAsia"/>
          <w:b/>
          <w:bCs/>
          <w:sz w:val="28"/>
          <w:szCs w:val="28"/>
        </w:rPr>
        <w:t>、</w:t>
      </w:r>
      <w:r>
        <w:rPr>
          <w:rFonts w:ascii="SimSun" w:eastAsia="SimSun" w:hAnsi="SimSun" w:hint="eastAsia"/>
          <w:b/>
          <w:bCs/>
          <w:sz w:val="28"/>
          <w:szCs w:val="28"/>
        </w:rPr>
        <w:t>总结</w:t>
      </w:r>
    </w:p>
    <w:p w:rsidR="00F11DFC" w:rsidRPr="00F11DFC" w:rsidRDefault="00FF100C" w:rsidP="00420914">
      <w:pPr>
        <w:spacing w:line="360" w:lineRule="auto"/>
        <w:rPr>
          <w:rFonts w:ascii="SimSun" w:eastAsia="SimSun" w:hAnsi="SimSun" w:hint="eastAsia"/>
        </w:rPr>
      </w:pPr>
      <w:r>
        <w:rPr>
          <w:rFonts w:ascii="SimSun" w:eastAsia="SimSun" w:hAnsi="SimSun" w:hint="eastAsia"/>
        </w:rPr>
        <w:t>从个股时间序列分析，投资组合时间序列分析和横截面回归分析中可以发现，</w:t>
      </w:r>
      <w:r w:rsidRPr="00FF100C">
        <w:rPr>
          <w:rFonts w:eastAsia="SimSun"/>
        </w:rPr>
        <w:t>CAPM</w:t>
      </w:r>
      <w:r>
        <w:rPr>
          <w:rFonts w:ascii="SimSun" w:eastAsia="SimSun" w:hAnsi="SimSun" w:hint="eastAsia"/>
        </w:rPr>
        <w:t>在中国</w:t>
      </w:r>
      <w:r w:rsidRPr="00FF100C">
        <w:rPr>
          <w:rFonts w:eastAsia="SimSun"/>
        </w:rPr>
        <w:t>A</w:t>
      </w:r>
      <w:r>
        <w:rPr>
          <w:rFonts w:ascii="SimSun" w:eastAsia="SimSun" w:hAnsi="SimSun" w:hint="eastAsia"/>
        </w:rPr>
        <w:t>股市场中表现较为显著，不可忽略其存在意义，但是同时，</w:t>
      </w:r>
      <w:r w:rsidR="00420914">
        <w:rPr>
          <w:rFonts w:ascii="SimSun" w:eastAsia="SimSun" w:hAnsi="SimSun" w:hint="eastAsia"/>
        </w:rPr>
        <w:t>无论是个股收益率还是投资组合收益率均受到除了系统风险以外的其他因素影响，体现了</w:t>
      </w:r>
      <w:r w:rsidR="00420914" w:rsidRPr="00420914">
        <w:rPr>
          <w:rFonts w:eastAsia="SimSun"/>
        </w:rPr>
        <w:t>A</w:t>
      </w:r>
      <w:r w:rsidR="00420914">
        <w:rPr>
          <w:rFonts w:ascii="SimSun" w:eastAsia="SimSun" w:hAnsi="SimSun" w:hint="eastAsia"/>
        </w:rPr>
        <w:t>股市场与成熟市场的一些差距。</w:t>
      </w:r>
      <w:bookmarkStart w:id="0" w:name="_GoBack"/>
      <w:bookmarkEnd w:id="0"/>
    </w:p>
    <w:sectPr w:rsidR="00F11DFC" w:rsidRPr="00F11DFC" w:rsidSect="00314B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103CE"/>
    <w:multiLevelType w:val="hybridMultilevel"/>
    <w:tmpl w:val="4396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91B5D"/>
    <w:multiLevelType w:val="hybridMultilevel"/>
    <w:tmpl w:val="D8E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78"/>
    <w:rsid w:val="00012B72"/>
    <w:rsid w:val="000301C4"/>
    <w:rsid w:val="0007273B"/>
    <w:rsid w:val="00075410"/>
    <w:rsid w:val="00082E9E"/>
    <w:rsid w:val="000C0FEE"/>
    <w:rsid w:val="000C2042"/>
    <w:rsid w:val="001C6382"/>
    <w:rsid w:val="001E1979"/>
    <w:rsid w:val="001E732B"/>
    <w:rsid w:val="001F1EB2"/>
    <w:rsid w:val="00226324"/>
    <w:rsid w:val="00260272"/>
    <w:rsid w:val="00290A5E"/>
    <w:rsid w:val="002936F0"/>
    <w:rsid w:val="002C2B66"/>
    <w:rsid w:val="00314BDA"/>
    <w:rsid w:val="00420914"/>
    <w:rsid w:val="005165E4"/>
    <w:rsid w:val="005D2F17"/>
    <w:rsid w:val="005D32F7"/>
    <w:rsid w:val="00606525"/>
    <w:rsid w:val="00675E87"/>
    <w:rsid w:val="00682378"/>
    <w:rsid w:val="006C1E18"/>
    <w:rsid w:val="006E3CC7"/>
    <w:rsid w:val="00742039"/>
    <w:rsid w:val="008A3506"/>
    <w:rsid w:val="008C1253"/>
    <w:rsid w:val="0091206C"/>
    <w:rsid w:val="00921A4E"/>
    <w:rsid w:val="00924300"/>
    <w:rsid w:val="009F4EB2"/>
    <w:rsid w:val="00A04196"/>
    <w:rsid w:val="00A1470A"/>
    <w:rsid w:val="00A17514"/>
    <w:rsid w:val="00A86E33"/>
    <w:rsid w:val="00A90C74"/>
    <w:rsid w:val="00A928D8"/>
    <w:rsid w:val="00AA324A"/>
    <w:rsid w:val="00AE7FBD"/>
    <w:rsid w:val="00B97755"/>
    <w:rsid w:val="00BC2D6D"/>
    <w:rsid w:val="00BE1D8C"/>
    <w:rsid w:val="00C3338D"/>
    <w:rsid w:val="00CB1F51"/>
    <w:rsid w:val="00CB21D1"/>
    <w:rsid w:val="00CE2650"/>
    <w:rsid w:val="00D01BF5"/>
    <w:rsid w:val="00D41C44"/>
    <w:rsid w:val="00DB55FB"/>
    <w:rsid w:val="00DF51C9"/>
    <w:rsid w:val="00F11DFC"/>
    <w:rsid w:val="00F31835"/>
    <w:rsid w:val="00F45E18"/>
    <w:rsid w:val="00F755BA"/>
    <w:rsid w:val="00FF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759B"/>
  <w15:chartTrackingRefBased/>
  <w15:docId w15:val="{96D07FF8-17FA-6040-AFDF-BCAEC1EA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66"/>
    <w:rPr>
      <w:color w:val="808080"/>
    </w:rPr>
  </w:style>
  <w:style w:type="paragraph" w:styleId="ListParagraph">
    <w:name w:val="List Paragraph"/>
    <w:basedOn w:val="Normal"/>
    <w:uiPriority w:val="34"/>
    <w:qFormat/>
    <w:rsid w:val="000C0FEE"/>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4606">
      <w:bodyDiv w:val="1"/>
      <w:marLeft w:val="0"/>
      <w:marRight w:val="0"/>
      <w:marTop w:val="0"/>
      <w:marBottom w:val="0"/>
      <w:divBdr>
        <w:top w:val="none" w:sz="0" w:space="0" w:color="auto"/>
        <w:left w:val="none" w:sz="0" w:space="0" w:color="auto"/>
        <w:bottom w:val="none" w:sz="0" w:space="0" w:color="auto"/>
        <w:right w:val="none" w:sz="0" w:space="0" w:color="auto"/>
      </w:divBdr>
    </w:div>
    <w:div w:id="195314287">
      <w:bodyDiv w:val="1"/>
      <w:marLeft w:val="0"/>
      <w:marRight w:val="0"/>
      <w:marTop w:val="0"/>
      <w:marBottom w:val="0"/>
      <w:divBdr>
        <w:top w:val="none" w:sz="0" w:space="0" w:color="auto"/>
        <w:left w:val="none" w:sz="0" w:space="0" w:color="auto"/>
        <w:bottom w:val="none" w:sz="0" w:space="0" w:color="auto"/>
        <w:right w:val="none" w:sz="0" w:space="0" w:color="auto"/>
      </w:divBdr>
    </w:div>
    <w:div w:id="260064973">
      <w:bodyDiv w:val="1"/>
      <w:marLeft w:val="0"/>
      <w:marRight w:val="0"/>
      <w:marTop w:val="0"/>
      <w:marBottom w:val="0"/>
      <w:divBdr>
        <w:top w:val="none" w:sz="0" w:space="0" w:color="auto"/>
        <w:left w:val="none" w:sz="0" w:space="0" w:color="auto"/>
        <w:bottom w:val="none" w:sz="0" w:space="0" w:color="auto"/>
        <w:right w:val="none" w:sz="0" w:space="0" w:color="auto"/>
      </w:divBdr>
    </w:div>
    <w:div w:id="262108803">
      <w:bodyDiv w:val="1"/>
      <w:marLeft w:val="0"/>
      <w:marRight w:val="0"/>
      <w:marTop w:val="0"/>
      <w:marBottom w:val="0"/>
      <w:divBdr>
        <w:top w:val="none" w:sz="0" w:space="0" w:color="auto"/>
        <w:left w:val="none" w:sz="0" w:space="0" w:color="auto"/>
        <w:bottom w:val="none" w:sz="0" w:space="0" w:color="auto"/>
        <w:right w:val="none" w:sz="0" w:space="0" w:color="auto"/>
      </w:divBdr>
    </w:div>
    <w:div w:id="667254036">
      <w:bodyDiv w:val="1"/>
      <w:marLeft w:val="0"/>
      <w:marRight w:val="0"/>
      <w:marTop w:val="0"/>
      <w:marBottom w:val="0"/>
      <w:divBdr>
        <w:top w:val="none" w:sz="0" w:space="0" w:color="auto"/>
        <w:left w:val="none" w:sz="0" w:space="0" w:color="auto"/>
        <w:bottom w:val="none" w:sz="0" w:space="0" w:color="auto"/>
        <w:right w:val="none" w:sz="0" w:space="0" w:color="auto"/>
      </w:divBdr>
    </w:div>
    <w:div w:id="741948908">
      <w:bodyDiv w:val="1"/>
      <w:marLeft w:val="0"/>
      <w:marRight w:val="0"/>
      <w:marTop w:val="0"/>
      <w:marBottom w:val="0"/>
      <w:divBdr>
        <w:top w:val="none" w:sz="0" w:space="0" w:color="auto"/>
        <w:left w:val="none" w:sz="0" w:space="0" w:color="auto"/>
        <w:bottom w:val="none" w:sz="0" w:space="0" w:color="auto"/>
        <w:right w:val="none" w:sz="0" w:space="0" w:color="auto"/>
      </w:divBdr>
    </w:div>
    <w:div w:id="852693230">
      <w:bodyDiv w:val="1"/>
      <w:marLeft w:val="0"/>
      <w:marRight w:val="0"/>
      <w:marTop w:val="0"/>
      <w:marBottom w:val="0"/>
      <w:divBdr>
        <w:top w:val="none" w:sz="0" w:space="0" w:color="auto"/>
        <w:left w:val="none" w:sz="0" w:space="0" w:color="auto"/>
        <w:bottom w:val="none" w:sz="0" w:space="0" w:color="auto"/>
        <w:right w:val="none" w:sz="0" w:space="0" w:color="auto"/>
      </w:divBdr>
    </w:div>
    <w:div w:id="1106653294">
      <w:bodyDiv w:val="1"/>
      <w:marLeft w:val="0"/>
      <w:marRight w:val="0"/>
      <w:marTop w:val="0"/>
      <w:marBottom w:val="0"/>
      <w:divBdr>
        <w:top w:val="none" w:sz="0" w:space="0" w:color="auto"/>
        <w:left w:val="none" w:sz="0" w:space="0" w:color="auto"/>
        <w:bottom w:val="none" w:sz="0" w:space="0" w:color="auto"/>
        <w:right w:val="none" w:sz="0" w:space="0" w:color="auto"/>
      </w:divBdr>
    </w:div>
    <w:div w:id="1153372894">
      <w:bodyDiv w:val="1"/>
      <w:marLeft w:val="0"/>
      <w:marRight w:val="0"/>
      <w:marTop w:val="0"/>
      <w:marBottom w:val="0"/>
      <w:divBdr>
        <w:top w:val="none" w:sz="0" w:space="0" w:color="auto"/>
        <w:left w:val="none" w:sz="0" w:space="0" w:color="auto"/>
        <w:bottom w:val="none" w:sz="0" w:space="0" w:color="auto"/>
        <w:right w:val="none" w:sz="0" w:space="0" w:color="auto"/>
      </w:divBdr>
    </w:div>
    <w:div w:id="1184249540">
      <w:bodyDiv w:val="1"/>
      <w:marLeft w:val="0"/>
      <w:marRight w:val="0"/>
      <w:marTop w:val="0"/>
      <w:marBottom w:val="0"/>
      <w:divBdr>
        <w:top w:val="none" w:sz="0" w:space="0" w:color="auto"/>
        <w:left w:val="none" w:sz="0" w:space="0" w:color="auto"/>
        <w:bottom w:val="none" w:sz="0" w:space="0" w:color="auto"/>
        <w:right w:val="none" w:sz="0" w:space="0" w:color="auto"/>
      </w:divBdr>
    </w:div>
    <w:div w:id="1447697418">
      <w:bodyDiv w:val="1"/>
      <w:marLeft w:val="0"/>
      <w:marRight w:val="0"/>
      <w:marTop w:val="0"/>
      <w:marBottom w:val="0"/>
      <w:divBdr>
        <w:top w:val="none" w:sz="0" w:space="0" w:color="auto"/>
        <w:left w:val="none" w:sz="0" w:space="0" w:color="auto"/>
        <w:bottom w:val="none" w:sz="0" w:space="0" w:color="auto"/>
        <w:right w:val="none" w:sz="0" w:space="0" w:color="auto"/>
      </w:divBdr>
    </w:div>
    <w:div w:id="1579291348">
      <w:bodyDiv w:val="1"/>
      <w:marLeft w:val="0"/>
      <w:marRight w:val="0"/>
      <w:marTop w:val="0"/>
      <w:marBottom w:val="0"/>
      <w:divBdr>
        <w:top w:val="none" w:sz="0" w:space="0" w:color="auto"/>
        <w:left w:val="none" w:sz="0" w:space="0" w:color="auto"/>
        <w:bottom w:val="none" w:sz="0" w:space="0" w:color="auto"/>
        <w:right w:val="none" w:sz="0" w:space="0" w:color="auto"/>
      </w:divBdr>
    </w:div>
    <w:div w:id="1646160596">
      <w:bodyDiv w:val="1"/>
      <w:marLeft w:val="0"/>
      <w:marRight w:val="0"/>
      <w:marTop w:val="0"/>
      <w:marBottom w:val="0"/>
      <w:divBdr>
        <w:top w:val="none" w:sz="0" w:space="0" w:color="auto"/>
        <w:left w:val="none" w:sz="0" w:space="0" w:color="auto"/>
        <w:bottom w:val="none" w:sz="0" w:space="0" w:color="auto"/>
        <w:right w:val="none" w:sz="0" w:space="0" w:color="auto"/>
      </w:divBdr>
    </w:div>
    <w:div w:id="18925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B72F-F737-F348-9B5C-A6C44DB8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MSO3356</dc:creator>
  <cp:keywords/>
  <dc:description/>
  <cp:lastModifiedBy>MSO3356</cp:lastModifiedBy>
  <cp:revision>46</cp:revision>
  <dcterms:created xsi:type="dcterms:W3CDTF">2020-04-11T01:11:00Z</dcterms:created>
  <dcterms:modified xsi:type="dcterms:W3CDTF">2020-04-11T04:34:00Z</dcterms:modified>
</cp:coreProperties>
</file>