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0006/2025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Black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345345435435345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