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D2Coding" w:hAnsi="D2Coding" w:eastAsia="D2Coding" w:hint="eastAsia"/>
          <w:b/>
          <w:color w:val="3D8DFF"/>
          <w:sz w:val="22"/>
        </w:rPr>
        <w:t>STUDIO</w:t>
      </w:r>
    </w:p>
    <w:p>
      <w:pPr>
        <w:pStyle w:val="Title"/>
        <w:jc w:val="center"/>
      </w:pPr>
      <w:r>
        <w:rPr>
          <w:rFonts w:ascii="D2Coding" w:hAnsi="D2Coding" w:eastAsia="D2Coding" w:hint="eastAsia"/>
          <w:b/>
          <w:color w:val="0F172A"/>
          <w:sz w:val="48"/>
        </w:rPr>
        <w:t>라이브 서비스 RPG 경제 운영 브리프</w:t>
      </w:r>
    </w:p>
    <w:p>
      <w:pPr>
        <w:jc w:val="center"/>
      </w:pPr>
      <w:r>
        <w:rPr>
          <w:rFonts w:ascii="D2Coding" w:hAnsi="D2Coding" w:eastAsia="D2Coding" w:hint="eastAsia"/>
          <w:b w:val="0"/>
          <w:color w:val="475569"/>
          <w:sz w:val="26"/>
        </w:rPr>
        <w:t>근거 기반 실행 참고서</w:t>
      </w:r>
    </w:p>
    <w:p/>
    <w:p>
      <w:pPr>
        <w:pStyle w:val="Heading1"/>
      </w:pPr>
      <w:r>
        <w:t>운영 판단 요약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일일 미션에서 소프트 재화를 공급하고 업그레이드에서 소비한다. 목표 보유량은 5,000이다.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실물 가격 환산은 숨기지 않는다.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확률은 공개한다.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승인 범위 밖의 성과는 주장하지 않는다.</w:t>
      </w:r>
    </w:p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result.json#/domain/economy · approval-snapshot.json#/responsibleGates/0</w:t>
      </w:r>
    </w:p>
    <w:p>
      <w:r>
        <w:br w:type="page"/>
      </w:r>
    </w:p>
    <w:p>
      <w:pPr>
        <w:pStyle w:val="Heading1"/>
      </w:pPr>
      <w:r>
        <w:t>경제 루프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공급원 → 자원 → 소비처의 세 지점을 같은 주간 지표로 관찰한다.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20"/>
              </w:rPr>
              <w:t>요소</w:t>
            </w:r>
          </w:p>
        </w:tc>
        <w:tc>
          <w:tcPr>
            <w:tcW w:type="dxa" w:w="6660"/>
            <w:shd w:fill="E8EEF5"/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20"/>
              </w:rPr>
              <w:t>계약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공급원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일일 미션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자원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소프트 재화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소비처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업그레이드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인플레이션 위험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주간 공급-소비 차이</w:t>
            </w:r>
          </w:p>
        </w:tc>
      </w:tr>
    </w:tbl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result.json#/domain/economy</w:t>
      </w:r>
    </w:p>
    <w:p>
      <w:r>
        <w:br w:type="page"/>
      </w:r>
    </w:p>
    <w:p>
      <w:pPr>
        <w:pStyle w:val="Heading1"/>
      </w:pPr>
      <w:r>
        <w:t>실험과 가드레일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제한된 공급량 조정은 주간 인플레이션율을 높이지 않으면서 진행 체감을 개선한다.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20"/>
              </w:rPr>
              <w:t>항목</w:t>
            </w:r>
          </w:p>
        </w:tc>
        <w:tc>
          <w:tcPr>
            <w:tcW w:type="dxa" w:w="6660"/>
            <w:shd w:fill="E8EEF5"/>
          </w:tcPr>
          <w:p>
            <w:r/>
            <w:r>
              <w:rPr>
                <w:rFonts w:ascii="D2Coding" w:hAnsi="D2Coding" w:eastAsia="D2Coding" w:hint="eastAsia"/>
                <w:b/>
                <w:color w:val="0F172A"/>
                <w:sz w:val="20"/>
              </w:rPr>
              <w:t>계약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실험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economy-source-tuning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대조군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current-source-rate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단일 변수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daily-mission-yield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가드레일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weekly-inflation-rate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중단 조건</w:t>
            </w:r>
          </w:p>
        </w:tc>
        <w:tc>
          <w:tcPr>
            <w:tcW w:type="dxa" w:w="6660"/>
          </w:tcPr>
          <w:p>
            <w:r/>
            <w:r>
              <w:rPr>
                <w:rFonts w:ascii="D2Coding" w:hAnsi="D2Coding" w:eastAsia="D2Coding" w:hint="eastAsia"/>
                <w:b w:val="0"/>
                <w:color w:val="0F172A"/>
                <w:sz w:val="20"/>
              </w:rPr>
              <w:t>guardrail-breach</w:t>
            </w:r>
          </w:p>
        </w:tc>
      </w:tr>
    </w:tbl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result.json#/domain/experiment</w:t>
      </w:r>
    </w:p>
    <w:p>
      <w:r>
        <w:br w:type="page"/>
      </w:r>
    </w:p>
    <w:p>
      <w:pPr>
        <w:pStyle w:val="Heading1"/>
      </w:pPr>
      <w:r>
        <w:t>롤백 실행표</w:t>
      </w:r>
    </w:p>
    <w:p>
      <w:r>
        <w:rPr>
          <w:rFonts w:ascii="D2Coding" w:hAnsi="D2Coding" w:eastAsia="D2Coding" w:hint="eastAsia"/>
          <w:b w:val="0"/>
          <w:color w:val="0F172A"/>
          <w:sz w:val="22"/>
        </w:rPr>
        <w:t>가드레일 위반 시 자동으로 마지막 정상 설정을 복구한다.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트리거: guardrail-breach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책임자: liveops-owner</w:t>
      </w:r>
    </w:p>
    <w:p>
      <w:pPr>
        <w:pStyle w:val="ListBullet"/>
      </w:pPr>
      <w:r>
        <w:rPr>
          <w:rFonts w:ascii="D2Coding" w:hAnsi="D2Coding" w:eastAsia="D2Coding" w:hint="eastAsia"/>
          <w:b w:val="0"/>
          <w:color w:val="0F172A"/>
          <w:sz w:val="22"/>
        </w:rPr>
        <w:t>복구 후 원장을 정합화하고 알린다.</w:t>
      </w:r>
    </w:p>
    <w:p>
      <w:pPr>
        <w:spacing w:before="200"/>
      </w:pPr>
      <w:r>
        <w:rPr>
          <w:rFonts w:ascii="D2Coding" w:hAnsi="D2Coding" w:eastAsia="D2Coding" w:hint="eastAsia"/>
          <w:b w:val="0"/>
          <w:color w:val="64748B"/>
          <w:sz w:val="16"/>
        </w:rPr>
        <w:t>근거: result.json#/domain/rollback · approval-snapshot.json#/responsibleGates/1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D2Coding">
    <ns0:altName ns0:val="Apple SD Gothic Neo"/>
    <ns0:family ns0:val="modern"/>
    <ns0:pitch ns0:val="fixed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2Coding" w:hAnsi="D2Coding" w:eastAsia="D2Coding" w:hint="eastAsia"/>
        <w:b w:val="0"/>
        <w:color w:val="64748B"/>
        <w:sz w:val="16"/>
      </w:rPr>
      <w:t>Task 11 · format harness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2Coding" w:hAnsi="D2Coding" w:eastAsia="D2Coding" w:hint="eastAsia"/>
        <w:b w:val="0"/>
        <w:color w:val="64748B"/>
        <w:sz w:val="16"/>
      </w:rPr>
      <w:t>라이브 서비스 RPG 경제 운영 브리프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D2Coding" w:hAnsi="D2Coding" w:eastAsia="D2Coding" w:hint="eastAsia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D2Coding" w:hAnsi="D2Coding" w:eastAsia="D2Coding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D2Coding" w:hAnsi="D2Coding" w:eastAsia="D2Coding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300" w:lineRule="auto" w:before="0"/>
      <w:contextualSpacing/>
    </w:pPr>
    <w:rPr>
      <w:rFonts w:asciiTheme="majorHAnsi" w:eastAsiaTheme="majorEastAsia" w:hAnsiTheme="majorHAnsi" w:cstheme="majorBidi" w:ascii="D2Coding" w:hAnsi="D2Coding" w:eastAsia="D2Coding" w:hint="eastAsia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라이브 서비스 RPG 경제 운영 브리프</dc:title>
  <dc:subject>Task 11 representative format output</dc:subject>
  <dc:creator>Game Design Plugin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