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42" w:rsidRPr="00DC4842" w:rsidRDefault="00DC4842" w:rsidP="00DC4842">
      <w:pPr>
        <w:jc w:val="both"/>
        <w:rPr>
          <w:b/>
        </w:rPr>
      </w:pPr>
      <w:r w:rsidRPr="00DC4842">
        <w:rPr>
          <w:b/>
        </w:rPr>
        <w:t>Comparative Income Statement</w:t>
      </w:r>
    </w:p>
    <w:p w:rsidR="00DC4842" w:rsidRDefault="00DC4842" w:rsidP="00DC4842">
      <w:pPr>
        <w:jc w:val="both"/>
      </w:pPr>
      <w:r>
        <w:t xml:space="preserve">Listed in the </w:t>
      </w:r>
      <w:r w:rsidRPr="00710E60">
        <w:rPr>
          <w:i/>
        </w:rPr>
        <w:t xml:space="preserve">Figure 1 </w:t>
      </w:r>
      <w:r>
        <w:t xml:space="preserve">is the </w:t>
      </w:r>
      <w:r>
        <w:t>Comparative</w:t>
      </w:r>
      <w:r>
        <w:t xml:space="preserve"> Income Statement. The Report Shows the </w:t>
      </w:r>
      <w:r w:rsidRPr="00710E60">
        <w:rPr>
          <w:i/>
        </w:rPr>
        <w:t>Profit and Loss Report</w:t>
      </w:r>
      <w:r>
        <w:t xml:space="preserve"> computation for </w:t>
      </w:r>
      <w:r>
        <w:t>the current, and previous month of the current y</w:t>
      </w:r>
      <w:r>
        <w:t xml:space="preserve">ear. 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  <w:bookmarkStart w:id="0" w:name="_GoBack"/>
      <w:bookmarkEnd w:id="0"/>
    </w:p>
    <w:p w:rsidR="00DC4842" w:rsidRPr="00494520" w:rsidRDefault="00494520" w:rsidP="00494520">
      <w:pPr>
        <w:jc w:val="center"/>
        <w:rPr>
          <w:b/>
        </w:rPr>
      </w:pPr>
      <w:r w:rsidRPr="00494520">
        <w:rPr>
          <w:b/>
        </w:rPr>
        <w:t>Figure 1</w:t>
      </w:r>
    </w:p>
    <w:p w:rsidR="00961B58" w:rsidRDefault="00DC4842" w:rsidP="00494520">
      <w:pPr>
        <w:jc w:val="center"/>
      </w:pPr>
      <w:r>
        <w:rPr>
          <w:noProof/>
          <w:lang w:eastAsia="en-PH"/>
        </w:rPr>
        <w:drawing>
          <wp:inline distT="0" distB="0" distL="0" distR="0" wp14:anchorId="0E7A54A1" wp14:editId="2B9825D3">
            <wp:extent cx="6305266" cy="26721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261" cy="26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20" w:rsidRPr="00494520" w:rsidRDefault="00494520" w:rsidP="00494520">
      <w:pPr>
        <w:jc w:val="center"/>
        <w:rPr>
          <w:b/>
        </w:rPr>
      </w:pPr>
      <w:r w:rsidRPr="00494520">
        <w:rPr>
          <w:b/>
        </w:rPr>
        <w:t>Figure 2</w:t>
      </w:r>
    </w:p>
    <w:p w:rsidR="00DC4842" w:rsidRDefault="00DC4842" w:rsidP="00494520">
      <w:pPr>
        <w:jc w:val="center"/>
      </w:pPr>
      <w:r>
        <w:rPr>
          <w:noProof/>
          <w:lang w:eastAsia="en-PH"/>
        </w:rPr>
        <w:drawing>
          <wp:inline distT="0" distB="0" distL="0" distR="0" wp14:anchorId="563FC4E5" wp14:editId="18A7318D">
            <wp:extent cx="5143442" cy="18902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523" cy="19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2" w:rsidRPr="00494520" w:rsidRDefault="00494520" w:rsidP="00494520">
      <w:pPr>
        <w:jc w:val="center"/>
        <w:rPr>
          <w:b/>
        </w:rPr>
      </w:pPr>
      <w:r w:rsidRPr="00494520">
        <w:rPr>
          <w:b/>
        </w:rPr>
        <w:t>Figure 3</w:t>
      </w:r>
    </w:p>
    <w:p w:rsidR="00DC4842" w:rsidRDefault="00DC4842" w:rsidP="00494520">
      <w:pPr>
        <w:jc w:val="center"/>
      </w:pPr>
      <w:r>
        <w:rPr>
          <w:noProof/>
          <w:lang w:eastAsia="en-PH"/>
        </w:rPr>
        <w:drawing>
          <wp:inline distT="0" distB="0" distL="0" distR="0" wp14:anchorId="65090489" wp14:editId="680AD5C8">
            <wp:extent cx="3684896" cy="213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812" cy="2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842" w:rsidSect="00DC48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42"/>
    <w:rsid w:val="00494520"/>
    <w:rsid w:val="00961B58"/>
    <w:rsid w:val="00D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CAA0"/>
  <w15:chartTrackingRefBased/>
  <w15:docId w15:val="{7FC57CFF-B1A0-4C79-A1D6-1B0F69FB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2019-08-07T09:23:00Z</dcterms:created>
  <dcterms:modified xsi:type="dcterms:W3CDTF">2019-08-07T09:27:00Z</dcterms:modified>
</cp:coreProperties>
</file>