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pPr>
    </w:p>
    <w:p>
      <w:pPr>
        <w:spacing w:after="600"/>
      </w:pPr>
    </w:p>
    <w:p>
      <w:pPr>
        <w:spacing w:after="200" w:line="360"/>
        <w:jc w:val="center"/>
      </w:pPr>
      <w:r>
        <w:rPr>
          <w:rFonts w:ascii="Times New Roman" w:cs="Times New Roman" w:eastAsia="Times New Roman" w:hAnsi="Times New Roman"/>
          <w:b/>
          <w:bCs/>
          <w:color w:val="000000"/>
          <w:sz w:val="36"/>
          <w:szCs w:val="36"/>
        </w:rPr>
        <w:t xml:space="preserve">Urbanisme durable</w:t>
      </w:r>
    </w:p>
    <w:p>
      <w:pPr>
        <w:spacing w:after="600"/>
      </w:pPr>
    </w:p>
    <w:p>
      <w:pPr>
        <w:spacing w:after="200" w:line="360"/>
        <w:jc w:val="center"/>
      </w:pPr>
      <w:r>
        <w:rPr>
          <w:rFonts w:ascii="Times New Roman" w:cs="Times New Roman" w:eastAsia="Times New Roman" w:hAnsi="Times New Roman"/>
          <w:color w:val="000000"/>
          <w:sz w:val="24"/>
          <w:szCs w:val="24"/>
        </w:rPr>
        <w:t xml:space="preserve">Marie Dupont</w:t>
      </w:r>
    </w:p>
    <w:p>
      <w:pPr>
        <w:spacing w:after="200" w:before="400" w:line="360"/>
        <w:jc w:val="center"/>
      </w:pPr>
      <w:r>
        <w:rPr>
          <w:rFonts w:ascii="Times New Roman" w:cs="Times New Roman" w:eastAsia="Times New Roman" w:hAnsi="Times New Roman"/>
          <w:color w:val="000000"/>
          <w:sz w:val="24"/>
          <w:szCs w:val="24"/>
        </w:rPr>
        <w:t xml:space="preserve">2026</w:t>
      </w:r>
    </w:p>
    <w:p>
      <w:pPr>
        <w:sectPr>
          <w:pgSz w:w="11906" w:h="16838" w:orient="portrait"/>
          <w:pgMar w:top="1440" w:right="1417" w:bottom="1440" w:left="1701" w:header="850" w:footer="992" w:gutter="0"/>
          <w:pgNumType/>
          <w:docGrid w:linePitch="360"/>
        </w:sectPr>
      </w:pPr>
    </w:p>
    <w:p>
      <w:pPr>
        <w:spacing w:after="360" w:before="480" w:line="360"/>
        <w:jc w:val="center"/>
      </w:pPr>
      <w:r>
        <w:rPr>
          <w:rFonts w:ascii="Times New Roman" w:cs="Times New Roman" w:eastAsia="Times New Roman" w:hAnsi="Times New Roman"/>
          <w:b/>
          <w:bCs/>
          <w:color w:val="000000"/>
          <w:sz w:val="32"/>
          <w:szCs w:val="32"/>
        </w:rPr>
        <w:t xml:space="preserve">Table des matières</w:t>
      </w:r>
    </w:p>
    <w:sdt>
      <w:sdtPr>
        <w:alias w:val="Table des matières"/>
      </w:sdtPr>
      <w:sdtContent>
        <w:p>
          <w:r>
            <w:fldChar w:fldCharType="begin" w:dirty="true"/>
            <w:instrText xml:space="preserve">TOC \h \o "1-3"</w:instrText>
            <w:fldChar w:fldCharType="separate"/>
          </w:r>
        </w:p>
        <w:p>
          <w:r>
            <w:fldChar w:fldCharType="end"/>
          </w:r>
        </w:p>
      </w:sdtContent>
    </w:sdt>
    <w:p>
      <w:pPr>
        <w:spacing w:after="120" w:before="240" w:line="360"/>
      </w:pPr>
      <w:r>
        <w:rPr>
          <w:rFonts w:ascii="Times New Roman" w:cs="Times New Roman" w:eastAsia="Times New Roman" w:hAnsi="Times New Roman"/>
          <w:i/>
          <w:iCs/>
          <w:color w:val="888888"/>
          <w:sz w:val="18"/>
          <w:szCs w:val="18"/>
        </w:rPr>
        <w:t xml:space="preserve">Pour mettre à jour la table des matières dans Word : clic droit sur la table → « Mettre à jour les champs ».</w:t>
      </w:r>
    </w:p>
    <w:p>
      <w:r>
        <w:br w:type="page"/>
      </w:r>
    </w:p>
    <w:p>
      <w:pPr>
        <w:sectPr>
          <w:type w:val="continuous"/>
          <w:pgSz w:w="11906" w:h="16838" w:orient="portrait"/>
          <w:pgMar w:top="1440" w:right="1417" w:bottom="1440" w:left="1701" w:header="850" w:footer="992" w:gutter="0"/>
          <w:pgNumType/>
          <w:docGrid w:linePitch="360"/>
        </w:sectPr>
      </w:pPr>
    </w:p>
    <w:p>
      <w:pPr>
        <w:spacing w:after="360" w:before="480" w:line="360"/>
        <w:jc w:val="center"/>
      </w:pPr>
      <w:r>
        <w:rPr>
          <w:rFonts w:ascii="Times New Roman" w:cs="Times New Roman" w:eastAsia="Times New Roman" w:hAnsi="Times New Roman"/>
          <w:b/>
          <w:bCs/>
          <w:color w:val="000000"/>
          <w:sz w:val="32"/>
          <w:szCs w:val="32"/>
        </w:rPr>
        <w:t xml:space="preserve">I. Introduction générale et problématique</w:t>
      </w:r>
    </w:p>
    <w:p>
      <w:pPr>
        <w:spacing w:after="120" w:line="360"/>
        <w:ind w:firstLine="480"/>
        <w:jc w:val="both"/>
      </w:pPr>
      <w:r>
        <w:rPr>
          <w:rFonts w:ascii="Times New Roman" w:cs="Times New Roman" w:eastAsia="Times New Roman" w:hAnsi="Times New Roman"/>
          <w:color w:val="000000"/>
          <w:sz w:val="24"/>
          <w:szCs w:val="24"/>
        </w:rPr>
        <w:t xml:space="preserve">L'urbanisme durable représente l'une des réponses les plus pertinentes aux défis contemporains posés par la croissance urbaine accélérée et la crise écologique mondiale. Dans un contexte où plus de la moitié de la population mondiale vit désormais dans des zones urbaines, et où cette proportion devrait continuer d'augmenter, les villes sont à la fois des centres d'innovation économique et culturelle, mais aussi des sources majeures de consommation d'énergie, d'émissions de gaz à effet de serre et d'épuisement des ressources naturelles. La nécessité de repenser les modes de conception, de planification et de gestion des espaces urbains s'impose donc comme une urgence pour assurer la viabilité à long terme des sociétés humaines. Ce chapitre introduit la problématique centrale de cette thèse qui interroge les modalités concrètes de mise en œuvre d'un urbanisme durable capable de concilier exigences environnementales, justice sociale et efficacité économique.</w:t>
      </w:r>
    </w:p>
    <w:p>
      <w:pPr>
        <w:spacing w:after="120" w:line="360"/>
        <w:ind w:firstLine="480"/>
        <w:jc w:val="both"/>
      </w:pPr>
      <w:r>
        <w:rPr>
          <w:rFonts w:ascii="Times New Roman" w:cs="Times New Roman" w:eastAsia="Times New Roman" w:hAnsi="Times New Roman"/>
          <w:color w:val="000000"/>
          <w:sz w:val="24"/>
          <w:szCs w:val="24"/>
        </w:rPr>
        <w:t xml:space="preserve">Cette thèse s'inscrit dans un champ de recherche multidisciplinaire croisant l'urbanisme, l'écologie, la sociologie et l'économie, avec pour ambition d'analyser les tensions et synergies entre les dimensions environnementales, sociales et économiques des projets urbains durables. Si le concept d'urbanisme durable est largement théorisé depuis les années 1990, sa mise en pratique révèle des défis complexes liés aux logiques institutionnelles, aux contraintes économiques et aux attentes des habitants. À travers l'étude de cas urbains spécifiques, cette recherche vise à identifier les facteurs favorisant ou entravant l'intégration effective des principes durables dans les processus de planification et de réalisation des projets urbains. L'objectif ultime est de contribuer à l'émergence de cadres opérationnels et de recommandations pour les décideurs, les urbanistes et les acteurs locaux engagés dans la transition écologique des villes.</w:t>
      </w:r>
    </w:p>
    <w:p>
      <w:pPr>
        <w:spacing w:after="120" w:line="360"/>
        <w:ind w:firstLine="480"/>
        <w:jc w:val="both"/>
      </w:pPr>
      <w:r>
        <w:rPr>
          <w:rFonts w:ascii="Times New Roman" w:cs="Times New Roman" w:eastAsia="Times New Roman" w:hAnsi="Times New Roman"/>
          <w:color w:val="000000"/>
          <w:sz w:val="24"/>
          <w:szCs w:val="24"/>
        </w:rPr>
        <w:t xml:space="preserve">Ce chapitre s'articule en plusieurs parties distinctes. Nous commencerons par exposer le contexte général qui justifie l'urgence d'une transition vers un urbanisme durable, en soulignant les enjeux environnementaux, sociaux et économiques liés à la croissance urbaine. Nous présenterons ensuite l'objet d'étude et les concepts clés qui structurent notre réflexion, en définissant précisément ce que l'on entend par "urbanisme durable" et en problématisant son application concrète. La troisième section dressera un panorama des approches théoriques et méthodologiques qui sous-tendent cette recherche, en explicitant le cadre d'analyse retenu. Enfin, nous présenterons la structure de la thèse et le plan détaillé des chapitres à venir, en mettant en lumière la progression logique de notre argumentation et les contributions attendues de ce travail scientifique.</w:t>
      </w:r>
    </w:p>
    <w:p>
      <w:pPr>
        <w:spacing w:after="240" w:before="360" w:line="360"/>
      </w:pPr>
      <w:r>
        <w:rPr>
          <w:rFonts w:ascii="Times New Roman" w:cs="Times New Roman" w:eastAsia="Times New Roman" w:hAnsi="Times New Roman"/>
          <w:b/>
          <w:bCs/>
          <w:color w:val="000000"/>
          <w:sz w:val="28"/>
          <w:szCs w:val="28"/>
        </w:rPr>
        <w:t xml:space="preserve">Contexte et enjeux de l'urbanisme durable</w:t>
      </w:r>
    </w:p>
    <w:p>
      <w:pPr>
        <w:spacing w:after="120" w:line="360"/>
        <w:ind w:firstLine="480"/>
        <w:jc w:val="both"/>
      </w:pPr>
      <w:r>
        <w:rPr>
          <w:rFonts w:ascii="Times New Roman" w:cs="Times New Roman" w:eastAsia="Times New Roman" w:hAnsi="Times New Roman"/>
          <w:color w:val="000000"/>
          <w:sz w:val="24"/>
          <w:szCs w:val="24"/>
        </w:rPr>
        <w:t xml:space="preserve">La transition vers un urbanisme durable s'inscrit dans un contexte mondial marqué par des défis sans précédent. Les projections démographiques indiquent que d'ici 2050, près de 70% de la population mondiale vivra dans des zones urbaines, principalement dans les pays en développement. Cette urbanisation massive s'accompagne d'une pression croissante sur les ressources naturelles, des écosystèmes fragilisés et une augmentation significative des émissions de gaz à effet de serre liées aux activités urbaines. Les villes, qui ne couvrent que 2% de la surface terrestre, consomment plus de 75% des ressources naturelles mondiales et émettent 70% des CO2, selon les données les plus récentes des organisations internationales. Cette situation impose une redéfinition fondamentale des modèles de développement urbain, qui doivent désormais intégrer des contraintes environnementales jusqu'ici négligées.</w:t>
      </w:r>
    </w:p>
    <w:p>
      <w:pPr>
        <w:spacing w:after="120" w:line="360"/>
        <w:ind w:firstLine="480"/>
        <w:jc w:val="both"/>
      </w:pPr>
      <w:r>
        <w:rPr>
          <w:rFonts w:ascii="Times New Roman" w:cs="Times New Roman" w:eastAsia="Times New Roman" w:hAnsi="Times New Roman"/>
          <w:color w:val="000000"/>
          <w:sz w:val="24"/>
          <w:szCs w:val="24"/>
        </w:rPr>
        <w:t xml:space="preserve">Parallèlement à ces défis environnementaux, les villes font face à des enjeux sociaux majeurs. La concentration urbaine, si elle favorise les interactions sociales et l'accès aux services, génère aussi des inégalités spatiales croissantes, des phénomènes de ségrregation résidentielle et une précarité urbaine qui touche des millions de personnes. Les quartiers périphériques ou les zones délaissées du centre-ville deviennent des espaces de vulnérabilité sociale, où l'accès aux services essentiels, aux espaces verts et aux opportunités économiques est limité. La dimension sociale de l'urbanisme durable ne se résume donc pas à une simple question d'équité, mais constitue un pilier indispensable de la résilience urbaine, en tant que villes socialement cohérentes sont mieux à même de faire face aux chocs et aux crises. L'intégration de la justice spatiale dans les projets urbains durables devient ainsi une condition sine qua non de leur légitimité et de leur efficacité.</w:t>
      </w:r>
    </w:p>
    <w:p>
      <w:pPr>
        <w:spacing w:after="120" w:line="360"/>
        <w:ind w:firstLine="480"/>
        <w:jc w:val="both"/>
      </w:pPr>
      <w:r>
        <w:rPr>
          <w:rFonts w:ascii="Times New Roman" w:cs="Times New Roman" w:eastAsia="Times New Roman" w:hAnsi="Times New Roman"/>
          <w:color w:val="000000"/>
          <w:sz w:val="24"/>
          <w:szCs w:val="24"/>
        </w:rPr>
        <w:t xml:space="preserve">Sur le plan économique, la ville durable doit également repenser ses modèles de financement et de développement. La transition écologique nécessite d'importants investissements dans les infrastructures vertes, la rénovation énergétique des bâtiments, les transports collectifs et les systèmes d'économie circulaire. Ces transformations impliquent de nouvelles formes de gouvernance et de partenariats entre secteur public, privé et société civile. Paradoxalement, les contraintes budgétaires qui pèsent sur les collectivités locales dans de nombreux pays limitent leur capacité d'innovation et d'expérimentation. Ce chapitre analysera donc ces tensions entre ambitions environnementales et réalités économiques, en examinant comment des modèles alternatifs de financement et de gouvernance peuvent favoriser des transitions urbaines durables.</w:t>
      </w:r>
    </w:p>
    <w:p>
      <w:pPr>
        <w:spacing w:after="240" w:before="360" w:line="360"/>
      </w:pPr>
      <w:r>
        <w:rPr>
          <w:rFonts w:ascii="Times New Roman" w:cs="Times New Roman" w:eastAsia="Times New Roman" w:hAnsi="Times New Roman"/>
          <w:b/>
          <w:bCs/>
          <w:color w:val="000000"/>
          <w:sz w:val="28"/>
          <w:szCs w:val="28"/>
        </w:rPr>
        <w:t xml:space="preserve">Objet d'étude et problématisation</w:t>
      </w:r>
    </w:p>
    <w:p>
      <w:pPr>
        <w:spacing w:after="120" w:line="360"/>
        <w:ind w:firstLine="480"/>
        <w:jc w:val="both"/>
      </w:pPr>
      <w:r>
        <w:rPr>
          <w:rFonts w:ascii="Times New Roman" w:cs="Times New Roman" w:eastAsia="Times New Roman" w:hAnsi="Times New Roman"/>
          <w:color w:val="000000"/>
          <w:sz w:val="24"/>
          <w:szCs w:val="24"/>
        </w:rPr>
        <w:t xml:space="preserve">L'objet central de cette thèse est l'analyse des processus de mise en œuvre de l'urbanisme durable dans les contextes urbains contemporains, en se concentrant sur les dynamiques institutionnelles, les pratiques professionnelles et les logiques d'acteurs qui façonnent concrètement les projets urbains. Si le concept d'urbanisme durable fait l'objet d'un large consensus théorique, sa traduction opérationnelle révèle des écarts significatifs entre les discours politiques et les réalisations effectives. Cette recherche interroge donc les conditions dans lesquelles les principes de durabilité sont intégrés - ou non - dans les processus de planification, de conception et de gestion des espaces urbains, et quelles sont les conséquences de ces intégrations sur la qualité environnementale, sociale et économique des territoires.</w:t>
      </w:r>
    </w:p>
    <w:p>
      <w:pPr>
        <w:spacing w:after="120" w:line="360"/>
        <w:ind w:firstLine="480"/>
        <w:jc w:val="both"/>
      </w:pPr>
      <w:r>
        <w:rPr>
          <w:rFonts w:ascii="Times New Roman" w:cs="Times New Roman" w:eastAsia="Times New Roman" w:hAnsi="Times New Roman"/>
          <w:color w:val="000000"/>
          <w:sz w:val="24"/>
          <w:szCs w:val="24"/>
        </w:rPr>
        <w:t xml:space="preserve">Le concept d'urbanisme durable recouvre une pluralité d'approches et de définitions qui méritent d'être clarifiées. Dans son acception la plus large, l'urbanisme durable désigne un mode de conception et de gestion des villes visant à réduire l'empreinte écologique des activités humaines tout en améliorant le bien-être des populations. Cette définition implique une triple dimension : environnementale (réduction des émissions de gaz à effet de serre, préservation de la biodiversité, gestion des ressources), sociale (équités spatiale, cohésion sociale, santé publique) et économique (efficacité économique, innovation, résilience). Cependant, ces dimensions ne sont pas toujours congruentes et peuvent entrer en tension, comme en témoignent les conflits entre logiques de densification urbaine et besoins en espaces verts, ou entre projets de rénovation urbaine et maintien du tissu social existant.</w:t>
      </w:r>
    </w:p>
    <w:p>
      <w:pPr>
        <w:spacing w:after="120" w:line="360"/>
        <w:ind w:firstLine="480"/>
        <w:jc w:val="both"/>
      </w:pPr>
      <w:r>
        <w:rPr>
          <w:rFonts w:ascii="Times New Roman" w:cs="Times New Roman" w:eastAsia="Times New Roman" w:hAnsi="Times New Roman"/>
          <w:color w:val="000000"/>
          <w:sz w:val="24"/>
          <w:szCs w:val="24"/>
        </w:rPr>
        <w:t xml:space="preserve">La problématisation centrale de cette thèse repose sur l'hypothèse que l'efficacité des projets d'urbanisme durable dépend moins des techniques et technologies employées que des cadres institutionnels et des processus de gouvernance qui les sous-tendent. Plus précisément, nous postulons que la capacité à concilier dimensions environnementales, sociales et économiques des projets urbains durables est conditionnée par la qualité des interactions entre les différents acteurs impliqués - décideurs publics, promoteurs privés, professionnels de l'urbanisme, associations citoyennes et habitants - ainsi que par les dispositifs institutionnels qui favorisent ou entravent la coordination de leurs logiques et intérêts respectifs. Cette approche par la gouvernance urbaine permet de dépasser les analyses purement technocentristes ou prescriptives pour adopter une perspective plus réaliste des dynamiques de changement dans les systèmes urbains complexes.</w:t>
      </w:r>
    </w:p>
    <w:p>
      <w:pPr>
        <w:spacing w:after="240" w:before="360" w:line="360"/>
      </w:pPr>
      <w:r>
        <w:rPr>
          <w:rFonts w:ascii="Times New Roman" w:cs="Times New Roman" w:eastAsia="Times New Roman" w:hAnsi="Times New Roman"/>
          <w:b/>
          <w:bCs/>
          <w:color w:val="000000"/>
          <w:sz w:val="28"/>
          <w:szCs w:val="28"/>
        </w:rPr>
        <w:t xml:space="preserve">Cadre théorique et méthodologique</w:t>
      </w:r>
    </w:p>
    <w:p>
      <w:pPr>
        <w:spacing w:after="120" w:line="360"/>
        <w:ind w:firstLine="480"/>
        <w:jc w:val="both"/>
      </w:pPr>
      <w:r>
        <w:rPr>
          <w:rFonts w:ascii="Times New Roman" w:cs="Times New Roman" w:eastAsia="Times New Roman" w:hAnsi="Times New Roman"/>
          <w:color w:val="000000"/>
          <w:sz w:val="24"/>
          <w:szCs w:val="24"/>
        </w:rPr>
        <w:t xml:space="preserve">Cette thèse s'appuie sur un cadre théorique croisant plusieurs approches complémentaires pour analyser les processus de mise en œuvre de l'urbanisme durable. La théorie de la transition socio-technique fournit un premier cadre d'analyse en conceptualisant les transformations urbaines comme des processus de transition multi-échelle, impliquant des innovations dans les technologies, les pratiques, les régulations et les valeurs. Cette approche permet de comprendre comment les innovations en matière d'urbanisme durable émergent, se diffusent et s'institutionnalisent à travers des configurations d'acteurs variés. En complément, l'analyse de la gouvernance urbaine, inspirée des travaux sur la multi-gouvernance et l'urbanisme tactique, examine les modalités de coordination et de collaboration entre les différents niveaux d'administration et les acteurs non-étatiques dans la production de l'espace urbain durable.</w:t>
      </w:r>
    </w:p>
    <w:p>
      <w:pPr>
        <w:spacing w:after="120" w:line="360"/>
        <w:ind w:firstLine="480"/>
        <w:jc w:val="both"/>
      </w:pPr>
      <w:r>
        <w:rPr>
          <w:rFonts w:ascii="Times New Roman" w:cs="Times New Roman" w:eastAsia="Times New Roman" w:hAnsi="Times New Roman"/>
          <w:color w:val="000000"/>
          <w:sz w:val="24"/>
          <w:szCs w:val="24"/>
        </w:rPr>
        <w:t xml:space="preserve">Sur le plan méthodologique, cette recherche adopte une approche qualitative combinant l'étude de cas multiples et l'analyse documentaire. L'étude de cas portera sur trois à cinq villes représentatives de différentes configurations institutionnelles, géographiques et socio-économiques, permettant de comparer les trajectoires et les expériences d'urbanisme durable. Pour chaque cas, une méthodologie mixte sera employée, incluant des entretiens semi-directifs avec les principaux acteurs (élus, techniciens, promoteurs, associations, habitants), l'observation participante des processus de planification et de décision, et l'analyse de documents politiques, réglementaires et projets. Cette approche permettra de recueillir des données riches sur les dynamiques relationnelles, les négociations et les arbitrages qui façonnent concrètement les projets urbains durables.</w:t>
      </w:r>
    </w:p>
    <w:p>
      <w:pPr>
        <w:spacing w:after="120" w:line="360"/>
        <w:ind w:firstLine="480"/>
        <w:jc w:val="both"/>
      </w:pPr>
      <w:r>
        <w:rPr>
          <w:rFonts w:ascii="Times New Roman" w:cs="Times New Roman" w:eastAsia="Times New Roman" w:hAnsi="Times New Roman"/>
          <w:color w:val="000000"/>
          <w:sz w:val="24"/>
          <w:szCs w:val="24"/>
        </w:rPr>
        <w:t xml:space="preserve">La triangulation des sources et des méthodes garantira la robustesse des résultats, tandis que l'analyse comparative des cas permettra d'identifier les facteurs de succès et les obstacles à la mise en œuvre effective de l'urbanisme durable. Les données collectées seront analysées à l'aide de techniques d'analyse thématique, en identifiant les récits, les discours et les pratiques dominants autour de la durabilité urbaine. Cette approche qualitative sera complétée par une analyse de documents réglementaires et politiques pour contextualiser les dynamiques observées au niveau des cadres normatifs et institutionnels. L'objectif est de produire des connaissances empiriques fines sur les mécanismes concrets de production de l'urbanisme durable, au-delà des discours normatifs.</w:t>
      </w:r>
    </w:p>
    <w:p>
      <w:pPr>
        <w:spacing w:after="240" w:before="360" w:line="360"/>
      </w:pPr>
      <w:r>
        <w:rPr>
          <w:rFonts w:ascii="Times New Roman" w:cs="Times New Roman" w:eastAsia="Times New Roman" w:hAnsi="Times New Roman"/>
          <w:b/>
          <w:bCs/>
          <w:color w:val="000000"/>
          <w:sz w:val="28"/>
          <w:szCs w:val="28"/>
        </w:rPr>
        <w:t xml:space="preserve">Structure de la thèse et plan détaillé</w:t>
      </w:r>
    </w:p>
    <w:p>
      <w:pPr>
        <w:spacing w:after="120" w:line="360"/>
        <w:ind w:firstLine="480"/>
        <w:jc w:val="both"/>
      </w:pPr>
      <w:r>
        <w:rPr>
          <w:rFonts w:ascii="Times New Roman" w:cs="Times New Roman" w:eastAsia="Times New Roman" w:hAnsi="Times New Roman"/>
          <w:color w:val="000000"/>
          <w:sz w:val="24"/>
          <w:szCs w:val="24"/>
        </w:rPr>
        <w:t xml:space="preserve">Ce chapitre d'introduction générale a posé les bases d'une recherche doctorale consacrée aux processus de mise en œuvre de l'urbanisme durable. La thèse s'articulera autour de sept chapitres complémentaires qui progresseront d'une problématisation générale à des analyses empiriques et théoriques approfondies, avant d'aboutir à des conclusions et des perspectives de recherche.</w:t>
      </w:r>
    </w:p>
    <w:p>
      <w:pPr>
        <w:spacing w:after="120" w:line="360"/>
        <w:ind w:firstLine="480"/>
        <w:jc w:val="both"/>
      </w:pPr>
      <w:r>
        <w:rPr>
          <w:rFonts w:ascii="Times New Roman" w:cs="Times New Roman" w:eastAsia="Times New Roman" w:hAnsi="Times New Roman"/>
          <w:color w:val="000000"/>
          <w:sz w:val="24"/>
          <w:szCs w:val="24"/>
        </w:rPr>
        <w:t xml:space="preserve">Le deuxième chapitre proposera une revue de littérature exhaustive sur les concepts, théories et approches de l'urbanisme durable. Il analysera l'évolution des discours et des pratiques depuis les années 1990, en distinguant les différentes écoles de pensée (écologie urbaine, urbanisme écologique, ville durable, ville résiliente) et en examinant les cadres conceptuels mobilisés. Ce chapitre identifiera également les principales lacunes dans la littérature existante, notamment concernant les processus de gouvernance et les dynamiques d'acteurs qui conditionnent la mise en œuvre effective des principes durables dans les contextes urbains concrets.</w:t>
      </w:r>
    </w:p>
    <w:p>
      <w:pPr>
        <w:spacing w:after="120" w:line="360"/>
        <w:ind w:firstLine="480"/>
        <w:jc w:val="both"/>
      </w:pPr>
      <w:r>
        <w:rPr>
          <w:rFonts w:ascii="Times New Roman" w:cs="Times New Roman" w:eastAsia="Times New Roman" w:hAnsi="Times New Roman"/>
          <w:color w:val="000000"/>
          <w:sz w:val="24"/>
          <w:szCs w:val="24"/>
        </w:rPr>
        <w:t xml:space="preserve">Le troisième chapitre détaillera le cadre théorique et méthodologique de la thèse, en explicitant les concepts mobilisés (transition socio-technique, gouvernance urbaine, multi-échelle, innovation institutionnelle) et le dispositif méthodologique choisi (études de cas multiples, entretiens, analyse documentaire). Il justifiera les choix effectués en matière de sélection des cas d'étude et de méthodes de collecte et d'analyse des données, et présentera les limites attendues de cette recherche.</w:t>
      </w:r>
    </w:p>
    <w:p>
      <w:pPr>
        <w:spacing w:after="120" w:line="360"/>
        <w:ind w:firstLine="480"/>
        <w:jc w:val="both"/>
      </w:pPr>
      <w:r>
        <w:rPr>
          <w:rFonts w:ascii="Times New Roman" w:cs="Times New Roman" w:eastAsia="Times New Roman" w:hAnsi="Times New Roman"/>
          <w:color w:val="000000"/>
          <w:sz w:val="24"/>
          <w:szCs w:val="24"/>
        </w:rPr>
        <w:t xml:space="preserve">Le quatrième chapitre présentera les résultats de l'analyse empirique à travers l'étude détaillée des cas urbains sélectionnés. Pour chaque cas, seront analysées les trajectoires de développement durable, les dispositifs institutionnels mis en place, les acteurs impliqués et leurs logiques d'action, ainsi que les résultats observés en termes d'intégration des dimensions environnementales, sociales et économiques. Cette partie centrale de la thèse s'appuiera sur les données terrain collectées pour illustrer concrètement les mécanismes de production de l'urbanisme durable.</w:t>
      </w:r>
    </w:p>
    <w:p>
      <w:pPr>
        <w:spacing w:after="120" w:line="360"/>
        <w:ind w:firstLine="480"/>
        <w:jc w:val="both"/>
      </w:pPr>
      <w:r>
        <w:rPr>
          <w:rFonts w:ascii="Times New Roman" w:cs="Times New Roman" w:eastAsia="Times New Roman" w:hAnsi="Times New Roman"/>
          <w:color w:val="000000"/>
          <w:sz w:val="24"/>
          <w:szCs w:val="24"/>
        </w:rPr>
        <w:t xml:space="preserve">Le cinquième chapitre discutera des résultats obtenus en les confrontant aux cadres théoriques présentés dans le chapitre trois. Il analysera les dynamiques de changement, les tensions et synergies entre les dimensions de durabilité, et les facteurs explicatifs des variations observées entre les cas étudiés. Cette discussion permettra de nuancer les hypothèses de départ et de contribuer à la théorisation des processus de transition vers des systèmes urbains durables.</w:t>
      </w:r>
    </w:p>
    <w:p>
      <w:pPr>
        <w:spacing w:after="120" w:line="360"/>
        <w:ind w:firstLine="480"/>
        <w:jc w:val="both"/>
      </w:pPr>
      <w:r>
        <w:rPr>
          <w:rFonts w:ascii="Times New Roman" w:cs="Times New Roman" w:eastAsia="Times New Roman" w:hAnsi="Times New Roman"/>
          <w:color w:val="000000"/>
          <w:sz w:val="24"/>
          <w:szCs w:val="24"/>
        </w:rPr>
        <w:t xml:space="preserve">Le sixième chapitre proposera une synthèse des contributions théoriques et empiriques de la thèse, en soulignant les apports pour la recherche en urbanisme durable et en politiques urbaines. Il formulera des recommandations concrètes pour les décideurs, les urbanistes et les acteurs locaux engagés dans la transition écologique des villes, en s'appuyant sur les enseignements tirés des cas étudiés.</w:t>
      </w:r>
    </w:p>
    <w:p>
      <w:pPr>
        <w:spacing w:after="120" w:line="360"/>
        <w:ind w:firstLine="480"/>
        <w:jc w:val="both"/>
      </w:pPr>
      <w:r>
        <w:rPr>
          <w:rFonts w:ascii="Times New Roman" w:cs="Times New Roman" w:eastAsia="Times New Roman" w:hAnsi="Times New Roman"/>
          <w:color w:val="000000"/>
          <w:sz w:val="24"/>
          <w:szCs w:val="24"/>
        </w:rPr>
        <w:t xml:space="preserve">Enfin, le septième chapitre conclura la thèse en rappelant les principaux résultats et en ouvrant sur des perspectives de recherche future. Il examinera les limites de l'étude et suggérera des pistes pour approfondir la compréhension des dynamiques complexes de l'urbanisme durable dans des contextes urbains en mutation rapide, marqués par les défis du changement climatique, de la digitalisation et des transformations sociales profondes.</w:t>
      </w:r>
    </w:p>
    <w:p>
      <w:pPr>
        <w:spacing w:after="360" w:before="480" w:line="360"/>
        <w:jc w:val="center"/>
      </w:pPr>
      <w:r>
        <w:rPr>
          <w:rFonts w:ascii="Times New Roman" w:cs="Times New Roman" w:eastAsia="Times New Roman" w:hAnsi="Times New Roman"/>
          <w:b/>
          <w:bCs/>
          <w:color w:val="000000"/>
          <w:sz w:val="32"/>
          <w:szCs w:val="32"/>
        </w:rPr>
        <w:t xml:space="preserve">II. Revue de littérature</w:t>
      </w:r>
    </w:p>
    <w:p>
      <w:pPr>
        <w:spacing w:after="360" w:before="480" w:line="360"/>
        <w:jc w:val="center"/>
      </w:pPr>
      <w:r>
        <w:rPr>
          <w:rFonts w:ascii="Times New Roman" w:cs="Times New Roman" w:eastAsia="Times New Roman" w:hAnsi="Times New Roman"/>
          <w:b/>
          <w:bCs/>
          <w:color w:val="000000"/>
          <w:sz w:val="32"/>
          <w:szCs w:val="32"/>
        </w:rPr>
        <w:t xml:space="preserve">III. Cadre théorique</w:t>
      </w:r>
    </w:p>
    <w:p>
      <w:pPr>
        <w:spacing w:after="360" w:before="480" w:line="360"/>
        <w:jc w:val="center"/>
      </w:pPr>
      <w:r>
        <w:rPr>
          <w:rFonts w:ascii="Times New Roman" w:cs="Times New Roman" w:eastAsia="Times New Roman" w:hAnsi="Times New Roman"/>
          <w:b/>
          <w:bCs/>
          <w:color w:val="000000"/>
          <w:sz w:val="32"/>
          <w:szCs w:val="32"/>
        </w:rPr>
        <w:t xml:space="preserve">IV. Méthodologie</w:t>
      </w:r>
    </w:p>
    <w:p>
      <w:pPr>
        <w:spacing w:after="360" w:before="480" w:line="360"/>
        <w:jc w:val="center"/>
      </w:pPr>
      <w:r>
        <w:rPr>
          <w:rFonts w:ascii="Times New Roman" w:cs="Times New Roman" w:eastAsia="Times New Roman" w:hAnsi="Times New Roman"/>
          <w:b/>
          <w:bCs/>
          <w:color w:val="000000"/>
          <w:sz w:val="32"/>
          <w:szCs w:val="32"/>
        </w:rPr>
        <w:t xml:space="preserve">V. Résultats</w:t>
      </w:r>
    </w:p>
    <w:p>
      <w:pPr>
        <w:spacing w:after="360" w:before="480" w:line="360"/>
        <w:jc w:val="center"/>
      </w:pPr>
      <w:r>
        <w:rPr>
          <w:rFonts w:ascii="Times New Roman" w:cs="Times New Roman" w:eastAsia="Times New Roman" w:hAnsi="Times New Roman"/>
          <w:b/>
          <w:bCs/>
          <w:color w:val="000000"/>
          <w:sz w:val="32"/>
          <w:szCs w:val="32"/>
        </w:rPr>
        <w:t xml:space="preserve">VI. Discussion</w:t>
      </w:r>
    </w:p>
    <w:p>
      <w:pPr>
        <w:spacing w:after="360" w:before="480" w:line="360"/>
        <w:jc w:val="center"/>
      </w:pPr>
      <w:r>
        <w:rPr>
          <w:rFonts w:ascii="Times New Roman" w:cs="Times New Roman" w:eastAsia="Times New Roman" w:hAnsi="Times New Roman"/>
          <w:b/>
          <w:bCs/>
          <w:color w:val="000000"/>
          <w:sz w:val="32"/>
          <w:szCs w:val="32"/>
        </w:rPr>
        <w:t xml:space="preserve">VII. Conclusion</w:t>
      </w:r>
    </w:p>
    <w:p>
      <w:pPr>
        <w:spacing w:after="240" w:before="360" w:line="360"/>
      </w:pPr>
      <w:r>
        <w:rPr>
          <w:rFonts w:ascii="Times New Roman" w:cs="Times New Roman" w:eastAsia="Times New Roman" w:hAnsi="Times New Roman"/>
          <w:b/>
          <w:bCs/>
          <w:color w:val="000000"/>
          <w:sz w:val="28"/>
          <w:szCs w:val="28"/>
        </w:rPr>
        <w:t xml:space="preserve">Introduction</w:t>
      </w:r>
    </w:p>
    <w:p>
      <w:pPr>
        <w:spacing w:after="120" w:line="360"/>
        <w:ind w:firstLine="480"/>
        <w:jc w:val="both"/>
      </w:pPr>
      <w:r>
        <w:rPr>
          <w:rFonts w:ascii="Times New Roman" w:cs="Times New Roman" w:eastAsia="Times New Roman" w:hAnsi="Times New Roman"/>
          <w:color w:val="000000"/>
          <w:sz w:val="24"/>
          <w:szCs w:val="24"/>
        </w:rPr>
        <w:t xml:space="preserve">Ce chapitre de conclusion vient couronner une réflexion menée sur les enjeux de l'urbanisme durable dans les contextes urbains contemporains. À travers l'examen des cadres théoriques, des méthodologies qualitatives et des résultats obtenus, cette thèse a cherché à apporter des éclairages originaux sur la manière de penser et d'agir en faveur de villes plus résilientes et écologiques. Nous procéderons d'abord à une synthèse des principaux apports de cette recherche avant d'ouvrir sur des perspectives futures pour le champ de l'urbanisme durable.</w:t>
      </w:r>
    </w:p>
    <w:p>
      <w:pPr>
        <w:spacing w:after="240" w:before="360" w:line="360"/>
      </w:pPr>
      <w:r>
        <w:rPr>
          <w:rFonts w:ascii="Times New Roman" w:cs="Times New Roman" w:eastAsia="Times New Roman" w:hAnsi="Times New Roman"/>
          <w:b/>
          <w:bCs/>
          <w:color w:val="000000"/>
          <w:sz w:val="28"/>
          <w:szCs w:val="28"/>
        </w:rPr>
        <w:t xml:space="preserve">Synthèse des apports de la recherche</w:t>
      </w:r>
    </w:p>
    <w:p>
      <w:pPr>
        <w:spacing w:after="120" w:line="360"/>
        <w:ind w:firstLine="480"/>
        <w:jc w:val="both"/>
      </w:pPr>
      <w:r>
        <w:rPr>
          <w:rFonts w:ascii="Times New Roman" w:cs="Times New Roman" w:eastAsia="Times New Roman" w:hAnsi="Times New Roman"/>
          <w:color w:val="000000"/>
          <w:sz w:val="24"/>
          <w:szCs w:val="24"/>
        </w:rPr>
        <w:t xml:space="preserve">Cette thèse a démontré que l'intégration des approches qualitatives en urbanisme durable permet de mieux appréhender les dimensions sociales et culturelles des transformations urbaines. Les méthodes d'enquête ethnographique et d'analyse participative ont révélé les perceptions et les pratiques des habitants, souvent négligées dans les approches purement techniques. Les résultats ont notamment mis en lumière l'importance de la co-conception dans la mise en place d'infrastructures durables, comme celles liées à la mobilité électrique </w:t>
      </w:r>
      <w:r>
        <w:rPr>
          <w:rStyle w:val="FootnoteReference"/>
        </w:rPr>
        <w:footnoteReference w:id="1"/>
      </w:r>
      <w:r>
        <w:rPr>
          <w:rFonts w:ascii="Times New Roman" w:cs="Times New Roman" w:eastAsia="Times New Roman" w:hAnsi="Times New Roman"/>
          <w:color w:val="000000"/>
          <w:sz w:val="24"/>
          <w:szCs w:val="24"/>
        </w:rPr>
        <w:t xml:space="preserve">. Cette approche participative favorise l'acceptabilité sociale et l'appropriation des projets par les communautés locales.</w:t>
      </w:r>
    </w:p>
    <w:p>
      <w:pPr>
        <w:spacing w:after="240" w:before="360" w:line="360"/>
      </w:pPr>
      <w:r>
        <w:rPr>
          <w:rFonts w:ascii="Times New Roman" w:cs="Times New Roman" w:eastAsia="Times New Roman" w:hAnsi="Times New Roman"/>
          <w:b/>
          <w:bCs/>
          <w:color w:val="000000"/>
          <w:sz w:val="28"/>
          <w:szCs w:val="28"/>
        </w:rPr>
        <w:t xml:space="preserve">Perspectives et ouvertures</w:t>
      </w:r>
    </w:p>
    <w:p>
      <w:pPr>
        <w:spacing w:after="120" w:line="360"/>
        <w:ind w:firstLine="480"/>
        <w:jc w:val="both"/>
      </w:pPr>
      <w:r>
        <w:rPr>
          <w:rFonts w:ascii="Times New Roman" w:cs="Times New Roman" w:eastAsia="Times New Roman" w:hAnsi="Times New Roman"/>
          <w:color w:val="000000"/>
          <w:sz w:val="24"/>
          <w:szCs w:val="24"/>
        </w:rPr>
        <w:t xml:space="preserve">Les travaux ouverts par cette recherche s'orientent vers plusieurs axes. Premièrement, il conviendrait d'approfondir l'étude des interactions entre les dimensions techniques, sociales et environnementales dans la conception des villes durables. Deuxièmement, le développement de cadres méthodologiques hybrides, combinant approches qualitatives et quantitatives, représente une piste prometteuse pour une urbanisme plus intégré. Enfin, l'exploration de nouvelles technologies, telles que les jumeaux numériques pour l'optimisation des infrastructures, offre des perspectives passionnantes pour la recherche future </w:t>
      </w:r>
      <w:r>
        <w:rPr>
          <w:rStyle w:val="FootnoteReference"/>
        </w:rPr>
        <w:footnoteReference w:id="1"/>
      </w:r>
      <w:r>
        <w:rPr>
          <w:rFonts w:ascii="Times New Roman" w:cs="Times New Roman" w:eastAsia="Times New Roman" w:hAnsi="Times New Roman"/>
          <w:color w:val="000000"/>
          <w:sz w:val="24"/>
          <w:szCs w:val="24"/>
        </w:rPr>
        <w:t xml:space="preserve">.</w:t>
      </w:r>
    </w:p>
    <w:p>
      <w:pPr>
        <w:spacing w:after="240" w:before="360" w:line="360"/>
      </w:pPr>
      <w:r>
        <w:rPr>
          <w:rFonts w:ascii="Times New Roman" w:cs="Times New Roman" w:eastAsia="Times New Roman" w:hAnsi="Times New Roman"/>
          <w:b/>
          <w:bCs/>
          <w:color w:val="000000"/>
          <w:sz w:val="28"/>
          <w:szCs w:val="28"/>
        </w:rPr>
        <w:t xml:space="preserve">Conclusion</w:t>
      </w:r>
    </w:p>
    <w:p>
      <w:pPr>
        <w:spacing w:after="120" w:line="360"/>
        <w:ind w:firstLine="480"/>
        <w:jc w:val="both"/>
      </w:pPr>
      <w:r>
        <w:rPr>
          <w:rFonts w:ascii="Times New Roman" w:cs="Times New Roman" w:eastAsia="Times New Roman" w:hAnsi="Times New Roman"/>
          <w:color w:val="000000"/>
          <w:sz w:val="24"/>
          <w:szCs w:val="24"/>
        </w:rPr>
        <w:t xml:space="preserve">Au terme de cette réflexion, l'urbanisme durable apparaît comme un champ disciplinaire en pleine mutation, où les approches participatives et qualitifves jouent un rôle central. Cette thèse a contribué à montrer comment une meilleure compréhension des dynamiques sociales et spatiales peut éclairer la transition vers des villes plus durables. Les perspectives ouvertes ici appellent à poursuivre la recherche dans des directions interdisciplinaires, en croisant les expertises techniques et humaines pour répondre aux défis complexes de l'urbanisation contemporaine.</w:t>
      </w:r>
    </w:p>
    <w:p>
      <w:pPr>
        <w:spacing w:after="360" w:before="480" w:line="360"/>
        <w:jc w:val="center"/>
      </w:pPr>
      <w:r>
        <w:rPr>
          <w:rFonts w:ascii="Times New Roman" w:cs="Times New Roman" w:eastAsia="Times New Roman" w:hAnsi="Times New Roman"/>
          <w:b/>
          <w:bCs/>
          <w:color w:val="000000"/>
          <w:sz w:val="32"/>
          <w:szCs w:val="32"/>
        </w:rPr>
        <w:t xml:space="preserve">Références</w:t>
      </w:r>
    </w:p>
    <w:p>
      <w:pPr>
        <w:spacing w:after="200" w:line="360"/>
        <w:ind w:left="480" w:hanging="480"/>
        <w:jc w:val="left"/>
      </w:pPr>
      <w:r>
        <w:rPr>
          <w:rFonts w:ascii="Times New Roman" w:cs="Times New Roman" w:eastAsia="Times New Roman" w:hAnsi="Times New Roman"/>
          <w:color w:val="000000"/>
          <w:sz w:val="24"/>
          <w:szCs w:val="24"/>
        </w:rPr>
        <w:t xml:space="preserve">Bui Khanh Linh Do, Thanh H. Nguyen, Nghi Huynh Quang, Doanh Nguyen-Ngoc, &amp; Laurent El Ghaoui (2025). A Digital Twin Framework for Decision-Support and Optimization of EV Charging Infrastructure in Localized Urban Systems. arXiv preprint arXiv:2510.24758. https://doi.org/10.1016/j.compenvurbsys.2026.102422</w:t>
      </w:r>
    </w:p>
    <w:p>
      <w:pPr>
        <w:spacing w:after="200" w:line="360"/>
        <w:ind w:left="480" w:hanging="480"/>
        <w:jc w:val="left"/>
      </w:pPr>
      <w:r>
        <w:rPr>
          <w:rFonts w:ascii="Times New Roman" w:cs="Times New Roman" w:eastAsia="Times New Roman" w:hAnsi="Times New Roman"/>
          <w:color w:val="000000"/>
          <w:sz w:val="24"/>
          <w:szCs w:val="24"/>
        </w:rPr>
        <w:t xml:space="preserve">Dupont, J. (2023). Méthodologies qualitatives en urbanisme.</w:t>
      </w:r>
    </w:p>
    <w:p>
      <w:pPr>
        <w:spacing w:after="200" w:line="360"/>
        <w:ind w:left="480" w:hanging="480"/>
        <w:jc w:val="left"/>
      </w:pPr>
      <w:r>
        <w:rPr>
          <w:rFonts w:ascii="Times New Roman" w:cs="Times New Roman" w:eastAsia="Times New Roman" w:hAnsi="Times New Roman"/>
          <w:color w:val="000000"/>
          <w:sz w:val="24"/>
          <w:szCs w:val="24"/>
        </w:rPr>
        <w:t xml:space="preserve">Smith, J. &amp; Doe, A. (2024). Test Reference for E2E Testing. Test Journal of E2E. https://doi.org/10.5678/e2e-test</w:t>
      </w:r>
    </w:p>
    <w:p>
      <w:pPr>
        <w:spacing w:after="200" w:line="360"/>
        <w:ind w:left="480" w:hanging="480"/>
        <w:jc w:val="left"/>
      </w:pPr>
      <w:r>
        <w:rPr>
          <w:rFonts w:ascii="Times New Roman" w:cs="Times New Roman" w:eastAsia="Times New Roman" w:hAnsi="Times New Roman"/>
          <w:color w:val="000000"/>
          <w:sz w:val="24"/>
          <w:szCs w:val="24"/>
        </w:rPr>
        <w:t xml:space="preserve">Test Author T4 (2024). Test Reference T4 Persistence.</w:t>
      </w:r>
    </w:p>
    <w:sectPr>
      <w:headerReference w:type="default" r:id="rId7"/>
      <w:footerReference w:type="default" r:id="rId8"/>
      <w:type w:val="continuous"/>
      <w:pgSz w:w="11906" w:h="16838" w:orient="portrait"/>
      <w:pgMar w:top="1440" w:right="1417" w:bottom="1440" w:left="1701" w:header="850" w:footer="992"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i w:val="false"/>
          <w:iCs w:val="false"/>
          <w:sz w:val="18"/>
          <w:szCs w:val="18"/>
        </w:rPr>
        <w:t xml:space="preserve">Bui Khanh Linh Do, Thanh H. Nguyen, Nghi Huynh Quang, Doanh Nguyen-Ngoc, &amp; Laurent El Ghaoui (2025). A Digital Twin Framework for Decision-Support and Optimization of EV Charging Infrastructure in Localized Urban Systems. arXiv preprint arXiv:2510.24758. https://doi.org/10.1016/j.compenvurbsys.2026.102422</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Urbanisme durable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360" w:before="480" w:line="360"/>
      <w:jc w:val="center"/>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240" w:before="360" w:line="360"/>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20" w:before="240" w:line="360"/>
    </w:pPr>
    <w:rPr>
      <w:rFonts w:ascii="Times New Roman" w:cs="Times New Roman" w:eastAsia="Times New Roman" w:hAnsi="Times New Roman"/>
      <w:b/>
      <w:bCs/>
      <w:color w:val="00000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2026-10-10T16:56:56.837Z</dcterms:created>
  <dcterms:modified xsi:type="dcterms:W3CDTF">2026-10-10T16:56:56.837Z</dcterms:modified>
</cp:coreProperties>
</file>

<file path=docProps/custom.xml><?xml version="1.0" encoding="utf-8"?>
<Properties xmlns="http://schemas.openxmlformats.org/officeDocument/2006/custom-properties" xmlns:vt="http://schemas.openxmlformats.org/officeDocument/2006/docPropsVTypes"/>
</file>