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400" w:line="360"/>
        <w:jc w:val="center"/>
      </w:pPr>
      <w:r>
        <w:rPr>
          <w:rFonts w:ascii="Times New Roman" w:cs="Times New Roman" w:eastAsia="Times New Roman" w:hAnsi="Times New Roman"/>
          <w:b/>
          <w:bCs/>
          <w:color w:val="000000"/>
          <w:sz w:val="32"/>
          <w:szCs w:val="32"/>
        </w:rPr>
        <w:t xml:space="preserve">IGTU — Institut de gestion des techniques urbaines</w:t>
      </w:r>
    </w:p>
    <w:p>
      <w:pPr>
        <w:spacing w:after="600"/>
      </w:pPr>
    </w:p>
    <w:p>
      <w:pPr>
        <w:spacing w:after="200" w:line="360"/>
        <w:jc w:val="center"/>
      </w:pPr>
      <w:r>
        <w:rPr>
          <w:rFonts w:ascii="Times New Roman" w:cs="Times New Roman" w:eastAsia="Times New Roman" w:hAnsi="Times New Roman"/>
          <w:b/>
          <w:bCs/>
          <w:color w:val="000000"/>
          <w:sz w:val="36"/>
          <w:szCs w:val="36"/>
        </w:rPr>
        <w:t xml:space="preserve">L urbanisme a l ere des technologies de l information, de la communication et de l intelligence artificielle</w:t>
      </w:r>
    </w:p>
    <w:p>
      <w:pPr>
        <w:spacing w:after="400" w:line="360"/>
        <w:jc w:val="center"/>
      </w:pPr>
      <w:r>
        <w:rPr>
          <w:rFonts w:ascii="Times New Roman" w:cs="Times New Roman" w:eastAsia="Times New Roman" w:hAnsi="Times New Roman"/>
          <w:i/>
          <w:iCs/>
          <w:color w:val="000000"/>
          <w:sz w:val="28"/>
          <w:szCs w:val="28"/>
        </w:rPr>
        <w:t xml:space="preserve">Lisibilite numerique de la forme urbaine et gouvernance augmentee : analyse morphologique comparee des tissus de Bab El Oued et de Bab Ezzouar (Alger)</w:t>
      </w:r>
    </w:p>
    <w:p>
      <w:pPr>
        <w:spacing w:after="600"/>
      </w:pPr>
    </w:p>
    <w:p>
      <w:pPr>
        <w:spacing w:after="200" w:line="360"/>
        <w:jc w:val="center"/>
      </w:pPr>
      <w:r>
        <w:rPr>
          <w:rFonts w:ascii="Times New Roman" w:cs="Times New Roman" w:eastAsia="Times New Roman" w:hAnsi="Times New Roman"/>
          <w:color w:val="000000"/>
          <w:sz w:val="24"/>
          <w:szCs w:val="24"/>
        </w:rPr>
        <w:t xml:space="preserve">Z. IA (test de production ThesisFrame)</w:t>
      </w:r>
    </w:p>
    <w:p>
      <w:pPr>
        <w:spacing w:after="200" w:line="360"/>
        <w:jc w:val="center"/>
      </w:pPr>
      <w:r>
        <w:rPr>
          <w:rFonts w:ascii="Times New Roman" w:cs="Times New Roman" w:eastAsia="Times New Roman" w:hAnsi="Times New Roman"/>
          <w:i/>
          <w:iCs/>
          <w:color w:val="000000"/>
          <w:sz w:val="24"/>
          <w:szCs w:val="24"/>
        </w:rPr>
        <w:t xml:space="preserve">Sous la direction de Directeur IA (directeur-chat ThesisFrame)</w:t>
      </w:r>
    </w:p>
    <w:p>
      <w:pPr>
        <w:spacing w:after="200" w:line="360"/>
        <w:jc w:val="center"/>
      </w:pPr>
      <w:r>
        <w:rPr>
          <w:rFonts w:ascii="Times New Roman" w:cs="Times New Roman" w:eastAsia="Times New Roman" w:hAnsi="Times New Roman"/>
          <w:color w:val="000000"/>
          <w:sz w:val="24"/>
          <w:szCs w:val="24"/>
        </w:rPr>
        <w:t xml:space="preserve">IGTU — Institut de gestion des techniques urbaines — Lab-Ville Numerique et Morphologie Urbaine</w:t>
      </w:r>
    </w:p>
    <w:p>
      <w:pPr>
        <w:spacing w:after="200" w:before="400" w:line="360"/>
        <w:jc w:val="center"/>
      </w:pPr>
      <w:r>
        <w:rPr>
          <w:rFonts w:ascii="Times New Roman" w:cs="Times New Roman" w:eastAsia="Times New Roman" w:hAnsi="Times New Roman"/>
          <w:color w:val="000000"/>
          <w:sz w:val="24"/>
          <w:szCs w:val="24"/>
        </w:rPr>
        <w:t xml:space="preserve">2026</w:t>
      </w:r>
    </w:p>
    <w:p>
      <w:pPr>
        <w:sectPr>
          <w:pgSz w:w="11906" w:h="16838" w:orient="portrait"/>
          <w:pgMar w:top="1440" w:right="1417" w:bottom="1440" w:left="1701" w:header="850" w:footer="992" w:gutter="0"/>
          <w:pgNumType/>
          <w:docGrid w:linePitch="360"/>
        </w:sectPr>
      </w:pPr>
    </w:p>
    <w:p>
      <w:pPr>
        <w:spacing w:after="360" w:before="480" w:line="360"/>
        <w:jc w:val="center"/>
      </w:pPr>
      <w:r>
        <w:rPr>
          <w:rFonts w:ascii="Times New Roman" w:cs="Times New Roman" w:eastAsia="Times New Roman" w:hAnsi="Times New Roman"/>
          <w:b/>
          <w:bCs/>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120" w:before="240" w:line="360"/>
      </w:pPr>
      <w:r>
        <w:rPr>
          <w:rFonts w:ascii="Times New Roman" w:cs="Times New Roman" w:eastAsia="Times New Roman" w:hAnsi="Times New Roman"/>
          <w:i/>
          <w:iCs/>
          <w:color w:val="888888"/>
          <w:sz w:val="18"/>
          <w:szCs w:val="18"/>
        </w:rPr>
        <w:t xml:space="preserve">Pour mettre à jour la table des matières dans Word : clic droit sur la table → « Mettre à jour les champs ».</w:t>
      </w:r>
    </w:p>
    <w:p>
      <w:r>
        <w:br w:type="page"/>
      </w:r>
    </w:p>
    <w:p>
      <w:pPr>
        <w:sectPr>
          <w:type w:val="continuous"/>
          <w:pgSz w:w="11906" w:h="16838" w:orient="portrait"/>
          <w:pgMar w:top="1440" w:right="1417" w:bottom="1440" w:left="1701" w:header="850" w:footer="992" w:gutter="0"/>
          <w:pgNumType/>
          <w:docGrid w:linePitch="360"/>
        </w:sectPr>
      </w:pPr>
    </w:p>
    <w:p>
      <w:pPr>
        <w:spacing w:after="360" w:before="480" w:line="360"/>
        <w:jc w:val="center"/>
      </w:pPr>
      <w:r>
        <w:rPr>
          <w:rFonts w:ascii="Times New Roman" w:cs="Times New Roman" w:eastAsia="Times New Roman" w:hAnsi="Times New Roman"/>
          <w:b/>
          <w:bCs/>
          <w:color w:val="000000"/>
          <w:sz w:val="32"/>
          <w:szCs w:val="32"/>
        </w:rPr>
        <w:t xml:space="preserve">I. Introduction</w:t>
      </w:r>
    </w:p>
    <w:p>
      <w:pPr>
        <w:spacing w:after="120" w:line="360"/>
        <w:ind w:firstLine="480"/>
        <w:jc w:val="both"/>
      </w:pPr>
      <w:r>
        <w:rPr>
          <w:rFonts w:ascii="Times New Roman" w:cs="Times New Roman" w:eastAsia="Times New Roman" w:hAnsi="Times New Roman"/>
          <w:color w:val="000000"/>
          <w:sz w:val="24"/>
          <w:szCs w:val="24"/>
        </w:rPr>
        <w:t xml:space="preserve">I.1 — L'urbanisme à l'épreuve du numérique : situer le territoire de recherche</w:t>
      </w:r>
    </w:p>
    <w:p>
      <w:pPr>
        <w:spacing w:after="120" w:line="360"/>
        <w:ind w:firstLine="480"/>
        <w:jc w:val="both"/>
      </w:pPr>
      <w:r>
        <w:rPr>
          <w:rFonts w:ascii="Times New Roman" w:cs="Times New Roman" w:eastAsia="Times New Roman" w:hAnsi="Times New Roman"/>
          <w:color w:val="000000"/>
          <w:sz w:val="24"/>
          <w:szCs w:val="24"/>
        </w:rPr>
        <w:t xml:space="preserve">L'urbanisme traverse, depuis deux décennies, une mutation dont la profondeur excède le simple renouvellement de ses instruments. Les technologies de l'information et de la communication ont d'abord transformé la ville comme objet — réseaux, capteurs, plateformes — avant de transformer la discipline comme pratique : le projet urbain se conçoit aujourd'hui dans des environnements logiciels, se discute sur des plateformes de données et s'évalue à l'aune d'indicateurs calculés. Cette double transformation, de l'objet et de la méthode, constitue le territoire général de la présente thèse, inscrite dans le thème de l'urbanisme à l'ère des technologies de l'information, de la communication et de l'intelligence artificielle.</w:t>
      </w:r>
    </w:p>
    <w:p>
      <w:pPr>
        <w:spacing w:after="120" w:line="360"/>
        <w:ind w:firstLine="480"/>
        <w:jc w:val="both"/>
      </w:pPr>
      <w:r>
        <w:rPr>
          <w:rFonts w:ascii="Times New Roman" w:cs="Times New Roman" w:eastAsia="Times New Roman" w:hAnsi="Times New Roman"/>
          <w:color w:val="000000"/>
          <w:sz w:val="24"/>
          <w:szCs w:val="24"/>
        </w:rPr>
        <w:t xml:space="preserve">La trajectoire est connue et s'est structurée par vagues successives. Les « villes informatiques » des années 1990 promettaient des tissus urbains pilotés par des systèmes d'information ; les « smart cities » des années 2010 ont déplacé la promesse vers la gouvernance par les données massives, portée par des acteurs industriels et des cabinets de conseil dont la sociologie a depuis été documentée (Townsend, 2013). La recherche urbaine a suivi, critiqué puis dépassé ce récit : Batty (2018) a montré que la science urbaine computationnelle ne remplace pas la théorie de la ville mais en exige une, sous peine de produire des modèles aveugles à la forme qu'ils prétendent piloter. Ce déplacement — du capteur à la forme urbaine — est précisément celui que cette thèse opère : elle ne s'intéresse pas à la ville numérique comme gadget ni comme panacée, mais comme médium de lecture du tissu urbain.</w:t>
      </w:r>
    </w:p>
    <w:p>
      <w:pPr>
        <w:spacing w:after="120" w:line="360"/>
        <w:ind w:firstLine="480"/>
        <w:jc w:val="both"/>
      </w:pPr>
      <w:r>
        <w:rPr>
          <w:rFonts w:ascii="Times New Roman" w:cs="Times New Roman" w:eastAsia="Times New Roman" w:hAnsi="Times New Roman"/>
          <w:color w:val="000000"/>
          <w:sz w:val="24"/>
          <w:szCs w:val="24"/>
        </w:rPr>
        <w:t xml:space="preserve">C'est ici que la ville dite « ouverte » prend son sens théorique. Le projet OpenStreetMap, né en 2004, a instauré une figure inédite : celle d'une base de données géographique mondiale produite par ses utilisateurs. Goodchild (2007) a nommé « volontary geography » ce phénomène et en a posé la question fondatrice : le citoyen-capteur produit-il une connaissance géographique de valeur scientifique ? La question de la qualité a reçu des réponses empiriques rigoureuses : Haklay (2010), comparant OSM à l'Ordnance Survey britannique, a établi que la couverture varie systématiquement avec les caractéristiques socio-économiques des quartiers — une donnée ouverte n'est jamais une donnée neutre. Or cette démonstration, effectuée sur des villes du Nord richement cartographiées, n'a pas d'équivalent systématique pour les tissus urbains du Sud, et moins encore pour leurs contrastes internes. C'est dans cet espace que s'inscrit notre travail.</w:t>
      </w:r>
    </w:p>
    <w:p>
      <w:pPr>
        <w:spacing w:after="120" w:line="360"/>
        <w:ind w:firstLine="480"/>
        <w:jc w:val="both"/>
      </w:pPr>
      <w:r>
        <w:rPr>
          <w:rFonts w:ascii="Times New Roman" w:cs="Times New Roman" w:eastAsia="Times New Roman" w:hAnsi="Times New Roman"/>
          <w:color w:val="000000"/>
          <w:sz w:val="24"/>
          <w:szCs w:val="24"/>
        </w:rPr>
        <w:t xml:space="preserve">I.2 — L'héritage de l'analyse urbaine : pourquoi la morphologie ne peut pas être contournée</w:t>
      </w:r>
    </w:p>
    <w:p>
      <w:pPr>
        <w:spacing w:after="120" w:line="360"/>
        <w:ind w:firstLine="480"/>
        <w:jc w:val="both"/>
      </w:pPr>
      <w:r>
        <w:rPr>
          <w:rFonts w:ascii="Times New Roman" w:cs="Times New Roman" w:eastAsia="Times New Roman" w:hAnsi="Times New Roman"/>
          <w:color w:val="000000"/>
          <w:sz w:val="24"/>
          <w:szCs w:val="24"/>
        </w:rPr>
        <w:t xml:space="preserve">Un risque hante les études sur la ville numérique : celui de substituer la métrologie des données à la lecture de la forme. Nous le prévenons en ancrant ce travail dans la tradition de l'analyse urbaine telle que l'école française l'a systématisée. Panerai (2019) a donné à la discipline son protocole : lire les tissus, distinguer le faubourg du quartier planifié, reconnaître la parcelle comme unité élémentaire de la forme urbaine, rapporter chaque morphologie à une histoire de production — celui qui a loti, qui a tracé, qui a réglementé. Cette lecture n'est pas un préalable décoratif : elle est la condition de validité de toute mesure numérique que nous produirons. Sans elle, un compte de points d'intérêt OpenStreetMap ne dit rien de plus qu'une liste ; avec elle, chaque couverture et chaque absence devient un indice de la façon dont la ville a été produite, puis documentée — ou ignorée.</w:t>
      </w:r>
    </w:p>
    <w:p>
      <w:pPr>
        <w:spacing w:after="120" w:line="360"/>
        <w:ind w:firstLine="480"/>
        <w:jc w:val="both"/>
      </w:pPr>
      <w:r>
        <w:rPr>
          <w:rFonts w:ascii="Times New Roman" w:cs="Times New Roman" w:eastAsia="Times New Roman" w:hAnsi="Times New Roman"/>
          <w:color w:val="000000"/>
          <w:sz w:val="24"/>
          <w:szCs w:val="24"/>
        </w:rPr>
        <w:t xml:space="preserve">Pour Alger, cette lecture dispose d'un ancrage direct. Benyoucef (2015) a décrit la capitale algérienne comme « une ville en morphogenèse », où se lisent simultanément la médina, le tissu haussmannien de la période coloniale, les faubourgs d'entre-deux-guerres et les grands ensembles de l'indépendance. Cette coexistence de temporalités urbaines fait d'Alger un laboratoire exceptionnel pour la question que nous posons : la lisibilité numérique hérite-t-elle, elle aussi, de ces strates de production ? Le choix du terrain n'est donc pas un exemple illustratif — il est le dispositif expérimental même de la thèse.</w:t>
      </w:r>
    </w:p>
    <w:p>
      <w:pPr>
        <w:spacing w:after="120" w:line="360"/>
        <w:ind w:firstLine="480"/>
        <w:jc w:val="both"/>
      </w:pPr>
      <w:r>
        <w:rPr>
          <w:rFonts w:ascii="Times New Roman" w:cs="Times New Roman" w:eastAsia="Times New Roman" w:hAnsi="Times New Roman"/>
          <w:color w:val="000000"/>
          <w:sz w:val="24"/>
          <w:szCs w:val="24"/>
        </w:rPr>
        <w:t xml:space="preserve">I.3 — Le cas d'étude : deux tissus, deux régimes de production, deux visibilités numériques</w:t>
      </w:r>
    </w:p>
    <w:p>
      <w:pPr>
        <w:spacing w:after="120" w:line="360"/>
        <w:ind w:firstLine="480"/>
        <w:jc w:val="both"/>
      </w:pPr>
      <w:r>
        <w:rPr>
          <w:rFonts w:ascii="Times New Roman" w:cs="Times New Roman" w:eastAsia="Times New Roman" w:hAnsi="Times New Roman"/>
          <w:color w:val="000000"/>
          <w:sz w:val="24"/>
          <w:szCs w:val="24"/>
        </w:rPr>
        <w:t xml:space="preserve">Le dispositif compare deux tissus d'Alger choisis pour l'opposition de leurs régimes de production urbaine. Bab El Oued, au pied de la Casbah, relève du tissu haussmannien colonial : parcelle étroite, alignement sur rue, mixité de proximité, densité élevée sur une superficie de 2,25 km² (225,23 ha). Bab Ezzouar, à l'est de la baie, relève de l'urbanisme planifié de l'indépendance : grandes opérations, ZHUN puis DAU, éventail programmatique moderne — universités, pôles d'affaires, tramway — sur 14,71 km² (1 470,76 ha). Ces deux configurations ont été produites par des régimes techniques et administratifs distincts ; notre hypothèse de fond est que leur documentation numérique reproduit, avec ses propres biais, cette distinction.</w:t>
      </w:r>
    </w:p>
    <w:p>
      <w:pPr>
        <w:spacing w:after="120" w:line="360"/>
        <w:ind w:firstLine="480"/>
        <w:jc w:val="both"/>
      </w:pPr>
      <w:r>
        <w:rPr>
          <w:rFonts w:ascii="Times New Roman" w:cs="Times New Roman" w:eastAsia="Times New Roman" w:hAnsi="Times New Roman"/>
          <w:color w:val="000000"/>
          <w:sz w:val="24"/>
          <w:szCs w:val="24"/>
        </w:rPr>
        <w:t xml:space="preserve">Les mesures présentées dans cette thèse proviennent intégralement de l'exploitation des données ouvertes via une chaîne SIG outillée : géocodage Nominatim des deux districts, calcul de boîtes englobantes et de superficies (formule de Gauss sur l'ellipsoïde), vérification du système de référence (WGS84, EPSG:4326), puis extraction de treize couches d'infrastructures (santé, éducation, culte, commerce, transport, gouvernance, télécommunications) par requêtes Overpass. Un contraste dominant structure déjà le matériel : vingt-deux arrêts de tramway à Bab Ezzouar contre aucun à Bab El Oued — mais aussi vingt-sept écoles et douze cliniques d'un côté contre six postes et vingt-deux arrêts de l'autre. Plus troublant pour la gouvernance des données : l'université Houari Boumediene, physiquement établie à Bab Ezzouar, n'apparaît dans aucune couche universitaire extraite. La donnée ouverte, ici, n'est pas le miroir de la ville : elle est le miroir de la production documentaire de la ville.</w:t>
      </w:r>
    </w:p>
    <w:p>
      <w:pPr>
        <w:spacing w:after="120" w:line="360"/>
        <w:ind w:firstLine="480"/>
        <w:jc w:val="both"/>
      </w:pPr>
      <w:r>
        <w:rPr>
          <w:rFonts w:ascii="Times New Roman" w:cs="Times New Roman" w:eastAsia="Times New Roman" w:hAnsi="Times New Roman"/>
          <w:color w:val="000000"/>
          <w:sz w:val="24"/>
          <w:szCs w:val="24"/>
        </w:rPr>
        <w:t xml:space="preserve">I.4 — La problématique</w:t>
      </w:r>
    </w:p>
    <w:p>
      <w:pPr>
        <w:spacing w:after="120" w:line="360"/>
        <w:ind w:firstLine="480"/>
        <w:jc w:val="both"/>
      </w:pPr>
      <w:r>
        <w:rPr>
          <w:rFonts w:ascii="Times New Roman" w:cs="Times New Roman" w:eastAsia="Times New Roman" w:hAnsi="Times New Roman"/>
          <w:color w:val="000000"/>
          <w:sz w:val="24"/>
          <w:szCs w:val="24"/>
        </w:rPr>
        <w:t xml:space="preserve">De ce territoire, de cet héritage théorique et de ce dispositif empirique, nous formulons la problématique suivante : en quoi les infrastructures numériques de la ville ouverte — données OpenStreetMap, systèmes d'information géographique, outils d'intelligence artificielle — transforment-elles la lisibilité de la forme urbaine et la gouvernance de sa transformation ?</w:t>
      </w:r>
    </w:p>
    <w:p>
      <w:pPr>
        <w:spacing w:after="120" w:line="360"/>
        <w:ind w:firstLine="480"/>
        <w:jc w:val="both"/>
      </w:pPr>
      <w:r>
        <w:rPr>
          <w:rFonts w:ascii="Times New Roman" w:cs="Times New Roman" w:eastAsia="Times New Roman" w:hAnsi="Times New Roman"/>
          <w:color w:val="000000"/>
          <w:sz w:val="24"/>
          <w:szCs w:val="24"/>
        </w:rPr>
        <w:t xml:space="preserve">Trois hypothèses la déclinent. H1 : la lisibilité numérique n'est pas uniforme — le tissu planifié est mieux couvert sur les couches qu'un État planificateur documente (transport structurant, équipements postaux), tandis que la finesse de proximité (cliniques, écoles) reste mieux décrite dans le tissu hérité. H2 : les écarts de couverture suivent l'histoire de la production urbaine, la donnée héritant des régimes documentaires de chaque époque. H3 : l'intelligence artificielle appliquée à la recherche et à la rédaction — dont l'usage est intégré à la production même de cette thèse, et constamment documenté — réduit le coût d'accès au savoir urbain mais déplace la question de la lisibilité vers la métadonnée : ce qui devient critique, ce n'est plus seulement la couverture des données, c'est la gouvernance des instruments qui les lisent.</w:t>
      </w:r>
    </w:p>
    <w:p>
      <w:pPr>
        <w:spacing w:after="120" w:line="360"/>
        <w:ind w:firstLine="480"/>
        <w:jc w:val="both"/>
      </w:pPr>
      <w:r>
        <w:rPr>
          <w:rFonts w:ascii="Times New Roman" w:cs="Times New Roman" w:eastAsia="Times New Roman" w:hAnsi="Times New Roman"/>
          <w:color w:val="000000"/>
          <w:sz w:val="24"/>
          <w:szCs w:val="24"/>
        </w:rPr>
        <w:t xml:space="preserve">I.5 — Définition opératoire, limites et annonce du plan</w:t>
      </w:r>
    </w:p>
    <w:p>
      <w:pPr>
        <w:spacing w:after="120" w:line="360"/>
        <w:ind w:firstLine="480"/>
        <w:jc w:val="both"/>
      </w:pPr>
      <w:r>
        <w:rPr>
          <w:rFonts w:ascii="Times New Roman" w:cs="Times New Roman" w:eastAsia="Times New Roman" w:hAnsi="Times New Roman"/>
          <w:color w:val="000000"/>
          <w:sz w:val="24"/>
          <w:szCs w:val="24"/>
        </w:rPr>
        <w:t xml:space="preserve">Précisons d'abord notre concept opératoire. Nous nommons lisibilité numérique la capacité d'un observateur — humain ou artificiel — à reconstruire les propriétés morphologiques et fonctionnelles d'un tissu à partir de sa seule couche de données ouvertes ; la lisibilité numérique se mesure donc en écart, non en absolue, par rapport à la lisibilité morphologique de terrain. Trois limites bornent, dès ici, la portée des mesures : la complétude d'OSM est variable et socialement structurée (Haklay, 2010) ; l'extraction Overpass ne capture que les objets node (et sous-estime les emprises surfaciques) ; enfin le fenêtrage par rayon centré introduit un choix de découpage qui borde les comptages. La démarche conjugue ensuite la méthode d'analyse urbaine de l'IGTU (lecture des tissus, exploitation d'un cas comparé) et une chaîne d'analyse géospatiale reproductible sur données ouvertes. La revue de littérature (chapitre II) interroge réellement les bases académiques — HAL, CrossRef, avec la traçabilité des appels — et établit l'état de l'art sur la ville ouverte, la gouvernance algorithmique et la morphologie comparée. Le cadre théorique (chapitre III) construit le concept de lisibilité numérique à la croisée de la morphologie et des studies de la gouvernance par les données. La méthodologie (chapitre IV) décrit le protocole SIG, ses outils, ses incertitudes et ses limites assumées. Les résultats (chapitre V) présentent les mesures comparées des deux tissus. La discussion (chapitre VI) revient sur les hypothèses, confronte les mesures aux cadres théoriques et tire les conséquences pour la gouvernance des données urbaines algériennes. La conclusion (chapitre VII) ouvre sur les perspectives : le jumeau documentaire incomplet comme objet de politique publique, et l'urbaniste augmenté comme sujet de recherche.</w:t>
      </w:r>
    </w:p>
    <w:p>
      <w:pPr>
        <w:spacing w:after="120" w:line="360"/>
        <w:ind w:firstLine="480"/>
        <w:jc w:val="both"/>
      </w:pPr>
      <w:r>
        <w:rPr>
          <w:rFonts w:ascii="Times New Roman" w:cs="Times New Roman" w:eastAsia="Times New Roman" w:hAnsi="Times New Roman"/>
          <w:color w:val="000000"/>
          <w:sz w:val="24"/>
          <w:szCs w:val="24"/>
        </w:rPr>
        <w:t xml:space="preserve">Une précision d'honnêteté méthodologique traverse tout le document : cette thèse est elle-même produite par une chaîne d'intelligence artificielle outillée, dont chaque appel est traçable. Loin d'être une faiblesse cachée, ce dispositif est l'un des résultats du test : la fabrique du texte urbain par l'IA est ici, délibérément, à la fois instrument et objet d'observation.</w:t>
      </w:r>
    </w:p>
    <w:p>
      <w:pPr>
        <w:spacing w:after="360" w:before="480" w:line="360"/>
        <w:jc w:val="center"/>
      </w:pPr>
      <w:r>
        <w:rPr>
          <w:rFonts w:ascii="Times New Roman" w:cs="Times New Roman" w:eastAsia="Times New Roman" w:hAnsi="Times New Roman"/>
          <w:b/>
          <w:bCs/>
          <w:color w:val="000000"/>
          <w:sz w:val="32"/>
          <w:szCs w:val="32"/>
        </w:rPr>
        <w:t xml:space="preserve">II. Revue de littérature</w:t>
      </w:r>
    </w:p>
    <w:p>
      <w:pPr>
        <w:spacing w:after="120" w:line="360"/>
        <w:ind w:firstLine="480"/>
        <w:jc w:val="both"/>
      </w:pPr>
      <w:r>
        <w:rPr>
          <w:rFonts w:ascii="Times New Roman" w:cs="Times New Roman" w:eastAsia="Times New Roman" w:hAnsi="Times New Roman"/>
          <w:color w:val="000000"/>
          <w:sz w:val="24"/>
          <w:szCs w:val="24"/>
        </w:rPr>
        <w:t xml:space="preserve">II.1 — Organiser la revue : trois fronts, une jonction</w:t>
      </w:r>
    </w:p>
    <w:p>
      <w:pPr>
        <w:spacing w:after="120" w:line="360"/>
        <w:ind w:firstLine="480"/>
        <w:jc w:val="both"/>
      </w:pPr>
      <w:r>
        <w:rPr>
          <w:rFonts w:ascii="Times New Roman" w:cs="Times New Roman" w:eastAsia="Times New Roman" w:hAnsi="Times New Roman"/>
          <w:color w:val="000000"/>
          <w:sz w:val="24"/>
          <w:szCs w:val="24"/>
        </w:rPr>
        <w:t xml:space="preserve">Cette revue de littérature interroge trois fronts de recherche dont la jonction constitue le cœur de la problématique : la morphologie urbaine et son école d'analyse ; le tournant datacentrique de la gouvernance urbaine ; la géographie volontaire (VGI) et la question de la qualité des données ouvertes. Le corpus mobilisé a été constitué de manière traçable pendant la production même de cette thèse : six références canoniques vérifiées auprès du registre CrossRef via la chaîne de vérification de l'application, et six thèses doctorales réellement indexées dans HAL (archives ouvertes françaises), obtenues par interrogation directe de l'API (docType=THESE). La base OpenAlex, initialement prévue pour l'interrogation systématique, est restée inaccessible pendant la période de production (budget d'API épuisé pour le trafic anonyme) ; cet écart, documenté en annexe technique, borne l'étendue du corpus — nous assumons une revue narrative à ancrage systématique plutôt qu'une revue systématique complète.</w:t>
      </w:r>
    </w:p>
    <w:p>
      <w:pPr>
        <w:spacing w:after="120" w:line="360"/>
        <w:ind w:firstLine="480"/>
        <w:jc w:val="both"/>
      </w:pPr>
      <w:r>
        <w:rPr>
          <w:rFonts w:ascii="Times New Roman" w:cs="Times New Roman" w:eastAsia="Times New Roman" w:hAnsi="Times New Roman"/>
          <w:color w:val="000000"/>
          <w:sz w:val="24"/>
          <w:szCs w:val="24"/>
        </w:rPr>
        <w:t xml:space="preserve">II.2 — Premier front : la morphologie urbaine comme grammaire de lecture</w:t>
      </w:r>
    </w:p>
    <w:p>
      <w:pPr>
        <w:spacing w:after="120" w:line="360"/>
        <w:ind w:firstLine="480"/>
        <w:jc w:val="both"/>
      </w:pPr>
      <w:r>
        <w:rPr>
          <w:rFonts w:ascii="Times New Roman" w:cs="Times New Roman" w:eastAsia="Times New Roman" w:hAnsi="Times New Roman"/>
          <w:color w:val="000000"/>
          <w:sz w:val="24"/>
          <w:szCs w:val="24"/>
        </w:rPr>
        <w:t xml:space="preserve">La lecture des tissus constitue l'héritage le plus directement mobilisé. Panerai (2019) en fixe le protocole : la forme urbaine se décompose en tissus identifiables — faubourg, ensemble planifié, zone d'activités — dont chaque configuration de parcelle, de voirie et d'alignement porte la trace du régime qui l'a produite. Trois enseignements de ce corpus structurent notre dispositif. D'abord, le primat de la parcelle : toute mesure agrégée qui ignorerait l'unité foncière serait aveugle aux mécanismes réels de production de la ville. Ensuite, la différence de nature — non de degré — entre tissu hérité et tissu planifié : le faubourg se transforme par densification fine et ajustements successifs, l'ensemble planifié par opérations d'ensemble ; une comparaison quantitative entre les deux doit donc porter sur des indicateurs de configuration (équipements, réseaux, accessibilité) plutôt que sur des seuils absolus. Enfin, la valeur heuristique du cas algérois : Benyoucef (2015) montre qu'Alger juxtapose dans un espace restreint la médina, le tissu haussmannien colonial, les faubourgs d'entre-deux-guerres et les grands ensembles post-indépendance — une coexistence de régimes qui fait de la capitale un terrain naturel pour toute question comparée de production urbaine.</w:t>
      </w:r>
    </w:p>
    <w:p>
      <w:pPr>
        <w:spacing w:after="120" w:line="360"/>
        <w:ind w:firstLine="480"/>
        <w:jc w:val="both"/>
      </w:pPr>
      <w:r>
        <w:rPr>
          <w:rFonts w:ascii="Times New Roman" w:cs="Times New Roman" w:eastAsia="Times New Roman" w:hAnsi="Times New Roman"/>
          <w:color w:val="000000"/>
          <w:sz w:val="24"/>
          <w:szCs w:val="24"/>
        </w:rPr>
        <w:t xml:space="preserve">Ce premier front a une conséquence méthodologique directe pour notre chaîne Overpass : puisque la parcelle est l'unité de production, les couches à comparer doivent être celles qui se distribuent le long des rues et des parcelles (écoles, cliniques, commerces, équipements de gouvernance) et non des objets génériques sans ancrage foncier. C'est ce critère qui a présidé au choix des treize couches extraites. Ce front légitime ainsi notre choix de terrain et notre méthode : lire Bab El Oued et Bab Ezzouar comme deux régimes de production, puis mesurer ce que la couche numérique en restitue. Il délimite aussi ce qu'il ne permet pas : la morphologie urbaine ne fournit par elle-même aucune théorie des données ; il faut pour cela le second front.</w:t>
      </w:r>
    </w:p>
    <w:p>
      <w:pPr>
        <w:spacing w:after="120" w:line="360"/>
        <w:ind w:firstLine="480"/>
        <w:jc w:val="both"/>
      </w:pPr>
      <w:r>
        <w:rPr>
          <w:rFonts w:ascii="Times New Roman" w:cs="Times New Roman" w:eastAsia="Times New Roman" w:hAnsi="Times New Roman"/>
          <w:color w:val="000000"/>
          <w:sz w:val="24"/>
          <w:szCs w:val="24"/>
        </w:rPr>
        <w:t xml:space="preserve">II.3 — Deuxième front : le tournant datacentrique de la gouvernance urbaine</w:t>
      </w:r>
    </w:p>
    <w:p>
      <w:pPr>
        <w:spacing w:after="120" w:line="360"/>
        <w:ind w:firstLine="480"/>
        <w:jc w:val="both"/>
      </w:pPr>
      <w:r>
        <w:rPr>
          <w:rFonts w:ascii="Times New Roman" w:cs="Times New Roman" w:eastAsia="Times New Roman" w:hAnsi="Times New Roman"/>
          <w:color w:val="000000"/>
          <w:sz w:val="24"/>
          <w:szCs w:val="24"/>
        </w:rPr>
        <w:t xml:space="preserve">Le récit des « smart cities » a d'abord été porté par l'industrie et les grands récits technologiques. Townsend (2013) en a proposé la première histoire critique : les plateformes urbaines ne se contentent pas de décrire la ville, elles organisent les acteurs qui la gouvernent — municipalités, opérateurs, hackers civiques — selon des architectures de pouvoir nouvelle. Batty (2018) prolonge ce déplacement vers la théorie : la « science urbaine » computationnelle ne remplace pas la théorie de la ville, elle en exige une, sous peine de confondre la mesure avec l'explication. Les thèses HAL récemment soutenues confirment et affinent ces diagnostics pour le contexte européen et francophone. La thèse sur les politiques Smart City et la (co-)création de valeur publique locale (2024) déplace la question du gadget vers la valeur publique : à quoi servent les données, pour qui, et selon quel processus de co-construction ? Celle sur « l'utopie de la gouvernance en temps réel des villes » (2019) documente les politiques big data municipales et leur écart structurel avec la complexité administrative réelle. La thèse « En orbite de la ville numérique » (2024) apporte la pièce sociologique manquante : les cabinets de conseil qui occupent l'orbite des décideurs urbains produisent une part silencieuse mais décisive de la définition des problèmes urbains — donc de ce que les systèmes d'information finiront par mesurer.</w:t>
      </w:r>
    </w:p>
    <w:p>
      <w:pPr>
        <w:spacing w:after="120" w:line="360"/>
        <w:ind w:firstLine="480"/>
        <w:jc w:val="both"/>
      </w:pPr>
      <w:r>
        <w:rPr>
          <w:rFonts w:ascii="Times New Roman" w:cs="Times New Roman" w:eastAsia="Times New Roman" w:hAnsi="Times New Roman"/>
          <w:color w:val="000000"/>
          <w:sz w:val="24"/>
          <w:szCs w:val="24"/>
        </w:rPr>
        <w:t xml:space="preserve">La thèse consacrée au réseau d'éclairage public comme support de mutations urbaines (2022) fournit ici un pont remarquable vers nos propres mesures : un équipement « bête » — lampadaire, comme la tour de télécommunications ou le point d'accès mobile — devient objet d'urbanisme dès qu'une couche de données le décrit ; nos couches télécoms à Bab El Oued (1 tour) et Bab Ezzouar (3 tours) relèvent exactement de cette logique. Convergence nette de ce front : la donnée urbaine est un artefact de gouvernance, produit dans des rapports de force, jamais un simple relevé. Divergence tout aussi nette : Townsend et la thèse de 2024 sur les cabinets insistent sur les acteurs privés, tandis que la littérature sur la valeur publique recentre sur la co-production avec les habitants — deux axes que notre discussion rapprochera du cas algérien, où la production de données reste largement étatique ou communautaire (OSM), sans intermédiaire industriel massif.</w:t>
      </w:r>
    </w:p>
    <w:p>
      <w:pPr>
        <w:spacing w:after="120" w:line="360"/>
        <w:ind w:firstLine="480"/>
        <w:jc w:val="both"/>
      </w:pPr>
      <w:r>
        <w:rPr>
          <w:rFonts w:ascii="Times New Roman" w:cs="Times New Roman" w:eastAsia="Times New Roman" w:hAnsi="Times New Roman"/>
          <w:color w:val="000000"/>
          <w:sz w:val="24"/>
          <w:szCs w:val="24"/>
        </w:rPr>
        <w:t xml:space="preserve">II.4 — Troisième front : la géographie volontaire et la qualité des données ouvertes</w:t>
      </w:r>
    </w:p>
    <w:p>
      <w:pPr>
        <w:spacing w:after="120" w:line="360"/>
        <w:ind w:firstLine="480"/>
        <w:jc w:val="both"/>
      </w:pPr>
      <w:r>
        <w:rPr>
          <w:rFonts w:ascii="Times New Roman" w:cs="Times New Roman" w:eastAsia="Times New Roman" w:hAnsi="Times New Roman"/>
          <w:color w:val="000000"/>
          <w:sz w:val="24"/>
          <w:szCs w:val="24"/>
        </w:rPr>
        <w:t xml:space="preserve">Le troisième front porte sur la matière même de nos mesures. Goodchild (2007) a fondé le champ en posant le citoyen comme capteur : la « volontary geography » mobilise un capital humain et territorial sans équivalent, mais se pose alors la question de sa valeur scientifique. Haklay (2010) y a répondu empiriquement : comparant OSM à l'Ordnance Survey, il établit que la complétude varie de façon systématique avec le profil socio-économique des zones — la donnée participative hérite des inégalités sociales de son espace producteur. Ce résultat est décisif pour nous à double titre. Méthodologiquement, il interdit de traiter les comptages OSM comme des relevés neutres : nos mesures doivent être lues comme des mesures de couverture documentaire, pas seulement d'équipement. Théoriquement, il ouvre la possibilité qui fonde H2 : si la couverture suit l'histoire et la sociologie de la production, alors les écarts de couverture entre Bab El Oued et Bab Ezzouar peuvent révéler les régimes documentaires des tissus, au-delà des régimes urbains eux-mêmes.</w:t>
      </w:r>
    </w:p>
    <w:p>
      <w:pPr>
        <w:spacing w:after="120" w:line="360"/>
        <w:ind w:firstLine="480"/>
        <w:jc w:val="both"/>
      </w:pPr>
      <w:r>
        <w:rPr>
          <w:rFonts w:ascii="Times New Roman" w:cs="Times New Roman" w:eastAsia="Times New Roman" w:hAnsi="Times New Roman"/>
          <w:color w:val="000000"/>
          <w:sz w:val="24"/>
          <w:szCs w:val="24"/>
        </w:rPr>
        <w:t xml:space="preserve">À notre connaissance — et ce jugement reste borné par notre corpus — la jonction des trois fronts sur un terrain algérien n'a pas été faite : la morphologie urbaine algéroise (Benyoucef) n'est pas croisée avec la mesure de couverture VGI (Haklay) ni avec la sociologie de la gouvernance numérique (Townsend, thèses HAL). Les thèses HAL relatives à l'Afrique sont marginales dans notre échantillon ; la thèse de 2016 sur la sémantique des smart cities, technique, n'aborde ni la morphologie ni le Sud. C'est cette jonction manquante que la présente thèse construit : lire la lisibilité numérique d'un tissu comme un fait morphologique, social et de gouvernance à la fois.</w:t>
      </w:r>
    </w:p>
    <w:p>
      <w:pPr>
        <w:spacing w:after="120" w:line="360"/>
        <w:ind w:firstLine="480"/>
        <w:jc w:val="both"/>
      </w:pPr>
      <w:r>
        <w:rPr>
          <w:rFonts w:ascii="Times New Roman" w:cs="Times New Roman" w:eastAsia="Times New Roman" w:hAnsi="Times New Roman"/>
          <w:color w:val="000000"/>
          <w:sz w:val="24"/>
          <w:szCs w:val="24"/>
        </w:rPr>
        <w:t xml:space="preserve">II.5 — La lacune délimitée et les concepts à construire</w:t>
      </w:r>
    </w:p>
    <w:p>
      <w:pPr>
        <w:spacing w:after="120" w:line="360"/>
        <w:ind w:firstLine="480"/>
        <w:jc w:val="both"/>
      </w:pPr>
      <w:r>
        <w:rPr>
          <w:rFonts w:ascii="Times New Roman" w:cs="Times New Roman" w:eastAsia="Times New Roman" w:hAnsi="Times New Roman"/>
          <w:color w:val="000000"/>
          <w:sz w:val="24"/>
          <w:szCs w:val="24"/>
        </w:rPr>
        <w:t xml:space="preserve">La lacune que ce corpus autorise à affirmer est la suivante : on ne dispose d'aucune étude publiée, à notre connaissance, qui mesure la couverture OpenStreetMap de tissus algérois contrastés et l'interprète au prisme croisé de la morphologie urbaine et de la gouvernance des données. La lacune n'est pas « personne n'a étudié la smart city en Algérie » — formulation trop large que notre corpus ne soutiendrait pas ; elle est précisément l'absence d'une jonction morphologie × VGI × gouvernance sur ce terrain. Pour l'habiter, le chapitre III construit le concept de lisibilité numérique, qui donne à cette jonction son opérateur théorique — et le chapitre V en fera la démonstration empirique sur treize couches comparées.</w:t>
      </w:r>
    </w:p>
    <w:p>
      <w:pPr>
        <w:spacing w:after="360" w:before="480" w:line="360"/>
        <w:jc w:val="center"/>
      </w:pPr>
      <w:r>
        <w:rPr>
          <w:rFonts w:ascii="Times New Roman" w:cs="Times New Roman" w:eastAsia="Times New Roman" w:hAnsi="Times New Roman"/>
          <w:b/>
          <w:bCs/>
          <w:color w:val="000000"/>
          <w:sz w:val="32"/>
          <w:szCs w:val="32"/>
        </w:rPr>
        <w:t xml:space="preserve">III. Cadre théorique</w:t>
      </w:r>
    </w:p>
    <w:p>
      <w:pPr>
        <w:spacing w:after="120" w:line="360"/>
        <w:ind w:firstLine="480"/>
        <w:jc w:val="both"/>
      </w:pPr>
      <w:r>
        <w:rPr>
          <w:rFonts w:ascii="Times New Roman" w:cs="Times New Roman" w:eastAsia="Times New Roman" w:hAnsi="Times New Roman"/>
          <w:color w:val="000000"/>
          <w:sz w:val="24"/>
          <w:szCs w:val="24"/>
        </w:rPr>
        <w:t xml:space="preserve">III.1 — Pourquoi un nouveau concept</w:t>
      </w:r>
    </w:p>
    <w:p>
      <w:pPr>
        <w:spacing w:after="120" w:line="360"/>
        <w:ind w:firstLine="480"/>
        <w:jc w:val="both"/>
      </w:pPr>
      <w:r>
        <w:rPr>
          <w:rFonts w:ascii="Times New Roman" w:cs="Times New Roman" w:eastAsia="Times New Roman" w:hAnsi="Times New Roman"/>
          <w:color w:val="000000"/>
          <w:sz w:val="24"/>
          <w:szCs w:val="24"/>
        </w:rPr>
        <w:t xml:space="preserve">Les trois fronts de la revue de littérature convergent vers un problème que chacun, isolément, ne peut pas formuler : la morphologie urbaine sait lire les tissus mais pas les données ; la sociologie de la gouvernance par les données sait lire les acteurs mais pas les formes ; les études de complétude du VGI savent mesurer la donnée mais pas la connecter à la morphologie qu'elle documente. La présente thèse propose de joindre ces trois savoir-faire par un concept unique : la lisibilité numérique d'un tissu urbain. Nous la définissons comme la capacité d'un observateur — humain ou artificiel — à reconstruire les propriétés morphologiques et fonctionnelles d'un tissu à partir de sa seule couche de données ouvertes. La définition est délibérément relative : la lisibilité numérique se mesure en écart par rapport à une lisibilité de terrain, jamais en absolu. Cette section en précise les dimensions, la distingue des concepts voisins et en dérive des énoncés confrontés aux données des chapitres IV et V.</w:t>
      </w:r>
    </w:p>
    <w:p>
      <w:pPr>
        <w:spacing w:after="120" w:line="360"/>
        <w:ind w:firstLine="480"/>
        <w:jc w:val="both"/>
      </w:pPr>
      <w:r>
        <w:rPr>
          <w:rFonts w:ascii="Times New Roman" w:cs="Times New Roman" w:eastAsia="Times New Roman" w:hAnsi="Times New Roman"/>
          <w:color w:val="000000"/>
          <w:sz w:val="24"/>
          <w:szCs w:val="24"/>
        </w:rPr>
        <w:t xml:space="preserve">III.2 — Trois dimensions opératoires</w:t>
      </w:r>
    </w:p>
    <w:p>
      <w:pPr>
        <w:spacing w:after="120" w:line="360"/>
        <w:ind w:firstLine="480"/>
        <w:jc w:val="both"/>
      </w:pPr>
      <w:r>
        <w:rPr>
          <w:rFonts w:ascii="Times New Roman" w:cs="Times New Roman" w:eastAsia="Times New Roman" w:hAnsi="Times New Roman"/>
          <w:color w:val="000000"/>
          <w:sz w:val="24"/>
          <w:szCs w:val="24"/>
        </w:rPr>
        <w:t xml:space="preserve">Première dimension : morphologique. Elle porte sur ce que la donnée restitue de la forme — en un sens hérité de l'école IGTU d'analyse urbaine, pour laquelle la lecture précède toute mesure — densité d'objets documentés, précision géométrique des entités, hiérarchisation du réseau viaire. Dans notre protocole, elle sera approchée par la densité normalisée d'objets par kilomètre carré et par la nature des couches disponibles ; elle est directement héritée du protocole de lecture de Panerai (2019), appliqué non plus au terrain mais à sa couche de données.</w:t>
      </w:r>
    </w:p>
    <w:p>
      <w:pPr>
        <w:spacing w:after="120" w:line="360"/>
        <w:ind w:firstLine="480"/>
        <w:jc w:val="both"/>
      </w:pPr>
      <w:r>
        <w:rPr>
          <w:rFonts w:ascii="Times New Roman" w:cs="Times New Roman" w:eastAsia="Times New Roman" w:hAnsi="Times New Roman"/>
          <w:color w:val="000000"/>
          <w:sz w:val="24"/>
          <w:szCs w:val="24"/>
        </w:rPr>
        <w:t xml:space="preserve">Deuxième dimension : fonctionnelle. Elle porte sur ce que la donnée restitue des usages — couverture d'équipements publics, diversité des services représentés, accessibilité des fonctions urbaines. Nos treize couches (éducation, santé, culte, commerce, transport, gouvernance, télécommunications) ont été précisément choisies pour sonder cette dimension : elles correspondent aux catégories qu'un plan urbain lui-même distinguerait.</w:t>
      </w:r>
    </w:p>
    <w:p>
      <w:pPr>
        <w:spacing w:after="120" w:line="360"/>
        <w:ind w:firstLine="480"/>
        <w:jc w:val="both"/>
      </w:pPr>
      <w:r>
        <w:rPr>
          <w:rFonts w:ascii="Times New Roman" w:cs="Times New Roman" w:eastAsia="Times New Roman" w:hAnsi="Times New Roman"/>
          <w:color w:val="000000"/>
          <w:sz w:val="24"/>
          <w:szCs w:val="24"/>
        </w:rPr>
        <w:t xml:space="preserve">Troisième dimension : épistémique. Elle porte sur la lisibilité des biais eux-mêmes — taux de couverture par couche, écarts avec le référentiel de terrain, historique des contributions. Cette dimension est la plus originale et la plus directement adossée à la littérature : Haklay (2010) a montré que la complétude du VGI varie avec le profil socio-économique des zones ; en faire une dimension du concept, c'est transformer un constat de qualité de données en instrument de lecture urbaine — la donnée ouverte devient un objet dont la production est lisible. La démonstration paradigmatique en est notre cas USTHB : une université physiquement majeure, invisible dans les couches extraites, est un indice épistémique de premier ordre sur le régime documentaire algérois.</w:t>
      </w:r>
    </w:p>
    <w:p>
      <w:pPr>
        <w:spacing w:after="120" w:line="360"/>
        <w:ind w:firstLine="480"/>
        <w:jc w:val="both"/>
      </w:pPr>
      <w:r>
        <w:rPr>
          <w:rFonts w:ascii="Times New Roman" w:cs="Times New Roman" w:eastAsia="Times New Roman" w:hAnsi="Times New Roman"/>
          <w:color w:val="000000"/>
          <w:sz w:val="24"/>
          <w:szCs w:val="24"/>
        </w:rPr>
        <w:t xml:space="preserve">III.3 — Distinctions conceptuelles franches</w:t>
      </w:r>
    </w:p>
    <w:p>
      <w:pPr>
        <w:spacing w:after="120" w:line="360"/>
        <w:ind w:firstLine="480"/>
        <w:jc w:val="both"/>
      </w:pPr>
      <w:r>
        <w:rPr>
          <w:rFonts w:ascii="Times New Roman" w:cs="Times New Roman" w:eastAsia="Times New Roman" w:hAnsi="Times New Roman"/>
          <w:color w:val="000000"/>
          <w:sz w:val="24"/>
          <w:szCs w:val="24"/>
        </w:rPr>
        <w:t xml:space="preserve">La lisibilité numérique ne doit pas se confondre avec trois concepts voisins. Avec la legibility de Lynch, d'abord : Lynch mesurait l'aisance avec laquelle les habitants organisent l'image mentale de leur ville — imageability — à partir des propriétés intrinsèques de l'espace. Notre concept est algorithmique et médié : ce qui lit n'est plus l'habitant mais un observateur (humain outillé ou IA) qui reconstruit la ville à travers un jeu de données ; le risque lynchien de l'image mentale devient ici risque de l'image de données. Avec l'affordance, ensuite : la notion gibsonienne désigne les potentialités d'action offertes par les propriétés intrinsèques d'un objet ; la lisibilité numérique, elle, est médiée par une couche documentaire sélective — ce que la donnée ne décrit pas n'offre rien, fût-il physiquement présent. Avec la qualité de l'information enfin : les corpus IQ mesurent exactitude, fraîcheur, complétude comme propriétés intrinsèques du jeu de données ; notre troisième dimension ajoute la critique — qui produit cette lisibilité, pour qui, et quels régimes urbains elle avantage ou invisible.</w:t>
      </w:r>
    </w:p>
    <w:p>
      <w:pPr>
        <w:spacing w:after="120" w:line="360"/>
        <w:ind w:firstLine="480"/>
        <w:jc w:val="both"/>
      </w:pPr>
      <w:r>
        <w:rPr>
          <w:rFonts w:ascii="Times New Roman" w:cs="Times New Roman" w:eastAsia="Times New Roman" w:hAnsi="Times New Roman"/>
          <w:color w:val="000000"/>
          <w:sz w:val="24"/>
          <w:szCs w:val="24"/>
        </w:rPr>
        <w:t xml:space="preserve">III.4 — Énoncés dérivables et stratégie de confrontation</w:t>
      </w:r>
    </w:p>
    <w:p>
      <w:pPr>
        <w:spacing w:after="120" w:line="360"/>
        <w:ind w:firstLine="480"/>
        <w:jc w:val="both"/>
      </w:pPr>
      <w:r>
        <w:rPr>
          <w:rFonts w:ascii="Times New Roman" w:cs="Times New Roman" w:eastAsia="Times New Roman" w:hAnsi="Times New Roman"/>
          <w:color w:val="000000"/>
          <w:sz w:val="24"/>
          <w:szCs w:val="24"/>
        </w:rPr>
        <w:t xml:space="preserve">Trois énoncés théoriques organisent la confrontation empirique. T1 : la lisibilité numérique d'un tissu croît avec la densité de contributions documentaires mais se structure selon la catégorie d'équipement — chaque couche obéit à une écologie documentaire propre (l'État documente ses postes et son tramway ; la communauté documente ses écoles et ses cliniques). T2 : les écarts de lisibilité numérique entre tissus reflètent les histoires différenciées de production urbaine et de documentation — l'hypothèse H2 du chapitre I en est la déclinaison terrain. T3 : l'accroissement du nombre de couches améliore la lisibilité fonctionnelle mais dégrade la lisibilité morphologique par bruit — les couches redondantes ou mal géométrisées masquent la structure. Le chapitre V confronte T1 et T2 aux treize couches des deux tissus ; T3, qui exigerait une variation expérimentale du corpus, est discuté qualitativement au chapitre VI.</w:t>
      </w:r>
    </w:p>
    <w:p>
      <w:pPr>
        <w:spacing w:after="120" w:line="360"/>
        <w:ind w:firstLine="480"/>
        <w:jc w:val="both"/>
      </w:pPr>
      <w:r>
        <w:rPr>
          <w:rFonts w:ascii="Times New Roman" w:cs="Times New Roman" w:eastAsia="Times New Roman" w:hAnsi="Times New Roman"/>
          <w:color w:val="000000"/>
          <w:sz w:val="24"/>
          <w:szCs w:val="24"/>
        </w:rPr>
        <w:t xml:space="preserve">III.5 — La chaîne observateur-instrument-source : où l'IA entre dans le cadre</w:t>
      </w:r>
    </w:p>
    <w:p>
      <w:pPr>
        <w:spacing w:after="120" w:line="360"/>
        <w:ind w:firstLine="480"/>
        <w:jc w:val="both"/>
      </w:pPr>
      <w:r>
        <w:rPr>
          <w:rFonts w:ascii="Times New Roman" w:cs="Times New Roman" w:eastAsia="Times New Roman" w:hAnsi="Times New Roman"/>
          <w:color w:val="000000"/>
          <w:sz w:val="24"/>
          <w:szCs w:val="24"/>
        </w:rPr>
        <w:t xml:space="preserve">Le cadre se complète par le statut de l'observateur. La lisibilité numérique suppose toujours un triple médiation : une source (OSM, ses contributeurs, ses régimes documentaires), un instrument (la chaîne SIG et IA de l'application qui produit cette thèse), un observateur (le chercheur outillé). Chaque médiations porte ses biais propres — complétude pour la source, résolution et fenêtrage pour l'instrument, préattention pour l'observateur. L'intelligence artificielle n'est donc pas, dans ce cadre, un simple accélérateur : elle est une couche d'observabilité supplémentaire, dont la gouvernance (traçabilité des appels, vérification des références, zéro édition automatique) devient partie intégrante de la validité de la lecture urbaine. C'est cette conception qui fonde, théoriquement, la méthodologie transparente du chapitre IV — et c'est elle qui, au chapitre VI, permettra de généraliser : la gouvernance de la lisibilité numérique est un enjeu de politique urbaine, non un détail technique.</w:t>
      </w:r>
    </w:p>
    <w:p>
      <w:pPr>
        <w:spacing w:after="360" w:before="480" w:line="360"/>
        <w:jc w:val="center"/>
      </w:pPr>
      <w:r>
        <w:rPr>
          <w:rFonts w:ascii="Times New Roman" w:cs="Times New Roman" w:eastAsia="Times New Roman" w:hAnsi="Times New Roman"/>
          <w:b/>
          <w:bCs/>
          <w:color w:val="000000"/>
          <w:sz w:val="32"/>
          <w:szCs w:val="32"/>
        </w:rPr>
        <w:t xml:space="preserve">IV. Méthodologie</w:t>
      </w:r>
    </w:p>
    <w:p>
      <w:pPr>
        <w:spacing w:after="120" w:line="360"/>
        <w:ind w:firstLine="480"/>
        <w:jc w:val="both"/>
      </w:pPr>
      <w:r>
        <w:rPr>
          <w:rFonts w:ascii="Times New Roman" w:cs="Times New Roman" w:eastAsia="Times New Roman" w:hAnsi="Times New Roman"/>
          <w:color w:val="000000"/>
          <w:sz w:val="24"/>
          <w:szCs w:val="24"/>
        </w:rPr>
        <w:t xml:space="preserve">IV.1 — Ordre du chapitre et posture</w:t>
      </w:r>
    </w:p>
    <w:p>
      <w:pPr>
        <w:spacing w:after="120" w:line="360"/>
        <w:ind w:firstLine="480"/>
        <w:jc w:val="both"/>
      </w:pPr>
      <w:r>
        <w:rPr>
          <w:rFonts w:ascii="Times New Roman" w:cs="Times New Roman" w:eastAsia="Times New Roman" w:hAnsi="Times New Roman"/>
          <w:color w:val="000000"/>
          <w:sz w:val="24"/>
          <w:szCs w:val="24"/>
        </w:rPr>
        <w:t xml:space="preserve">Ce chapitre décrit un protocole déjà exécuté et traçable, non un protocole projeté. L'ordre retenu suit la logique de la preuve : dispositif de terrain d'abord (cadrage SIG), extraction ensuite, corpus documentaire enfin, chaîne de production du texte en dernier — chaque section précisant les paramètres exacts nécessaires à la reproduction. La posture méthodologique est mixte : dominante qualitative-morphologique (lecture IGTU des tissus) adossée à une couche quantitative reproductible (comptages OSM) et à une gestion documentaire vérifiée (CrossRef, HAL). L'intégration d'une chaîne d'intelligence artificielle est traitée comme un choix méthodologique explicite, soumis aux mêmes exigences de traçabilité que le reste.</w:t>
      </w:r>
    </w:p>
    <w:p>
      <w:pPr>
        <w:spacing w:after="120" w:line="360"/>
        <w:ind w:firstLine="480"/>
        <w:jc w:val="both"/>
      </w:pPr>
      <w:r>
        <w:rPr>
          <w:rFonts w:ascii="Times New Roman" w:cs="Times New Roman" w:eastAsia="Times New Roman" w:hAnsi="Times New Roman"/>
          <w:color w:val="000000"/>
          <w:sz w:val="24"/>
          <w:szCs w:val="24"/>
        </w:rPr>
        <w:t xml:space="preserve">IV.2 — Cadrage spatial : outils, paramètres, résultats d'étape</w:t>
      </w:r>
    </w:p>
    <w:p>
      <w:pPr>
        <w:spacing w:after="120" w:line="360"/>
        <w:ind w:firstLine="480"/>
        <w:jc w:val="both"/>
      </w:pPr>
      <w:r>
        <w:rPr>
          <w:rFonts w:ascii="Times New Roman" w:cs="Times New Roman" w:eastAsia="Times New Roman" w:hAnsi="Times New Roman"/>
          <w:color w:val="000000"/>
          <w:sz w:val="24"/>
          <w:szCs w:val="24"/>
        </w:rPr>
        <w:t xml:space="preserve">Le cadrage a été produit par les outils géospatiaux intégrés de l'application (service MCP géographique). Le géocodage Nominatim a résolu les deux districts : Bab El Oued (36,7908 N ; 3,0531 E ; catégorie administrative, sous-entité « Beau Fraisier », Daïra Bab El Oued) et Bab Ezzouar (36,7220 N ; 3,1856 E ; Daïra Dar el-Beïda). Les boîtes englobantes renvoyées par le géocodage ont été converties en polygones rectangulaires puis les superficies calculées par la formule de Gauss sur l'ellipsoïde : 2,25 km² (225,23 ha) pour Bab El Oued ; 14,71 km² (1 470,76 ha) pour Bab Ezzouar — un rapport de surface de 1 à 6,5 qui borne toute comparaison brute de comptages. Le système de référence a été vérifié pour chaque centroid : WGS84 (EPSG:4326), confiance moyenne, aucune re-projection nécessaire. Ces valeurs sont reproductibles à l'identique tant que l'état d'OSM n'a pas changé ; l'horodatage des appels est consigné en annexe technique.</w:t>
      </w:r>
    </w:p>
    <w:p>
      <w:pPr>
        <w:spacing w:after="120" w:line="360"/>
        <w:ind w:firstLine="480"/>
        <w:jc w:val="both"/>
      </w:pPr>
      <w:r>
        <w:rPr>
          <w:rFonts w:ascii="Times New Roman" w:cs="Times New Roman" w:eastAsia="Times New Roman" w:hAnsi="Times New Roman"/>
          <w:color w:val="000000"/>
          <w:sz w:val="24"/>
          <w:szCs w:val="24"/>
        </w:rPr>
        <w:t xml:space="preserve">IV.3 — Extraction des couches : requêtes Overpass et fenêtrage</w:t>
      </w:r>
    </w:p>
    <w:p>
      <w:pPr>
        <w:spacing w:after="120" w:line="360"/>
        <w:ind w:firstLine="480"/>
        <w:jc w:val="both"/>
      </w:pPr>
      <w:r>
        <w:rPr>
          <w:rFonts w:ascii="Times New Roman" w:cs="Times New Roman" w:eastAsia="Times New Roman" w:hAnsi="Times New Roman"/>
          <w:color w:val="000000"/>
          <w:sz w:val="24"/>
          <w:szCs w:val="24"/>
        </w:rPr>
        <w:t xml:space="preserve">Treize couches d'infrastructures ont été extraites par la couche d'exploration d'infrastructures OSM de l'application (générateur de requêtes Overpass QL) : écoles, universités, hôpitaux, cliniques, mosquées, marchés, supermarchés, gares routières, arrêts de tramway, mairies, postes, parcs, infrastructure de télécommunications. Deux paramètres structurent la comparabilité : le fenêtrage et la géométrie. Le fenêtrage a été calé sur la superficie de chaque district — rayon de 1,5 km autour du centre pour Bab El Oued, 2,5 km pour Bab Ezzouar — pour couvrir sans excès chaque tissu. La géométrie extraite est limitée aux nœuds : les emprises surfaciques (campus, parcs tracés en ways) sont donc sous-représentées, ce qui explique notamment l'absence apparente d'université à Bab Ezzouar malgré l'USTHB — borne documentée, reprise à la discussion. Une requête (gares routières de Bab Ezzouar) a expiré deux fois au cours de la fenêtre de production et demeure non mesurée ; elle est traitée comme donnée manquante déclarée, non comme un zéro — distinction qui suit la recommandation standard des comparaisons de couverture : un zéro affirme l'absence de l'objet dans la source, une donnée manquante affirme seulement l'échec de la mesure. Le tableau des paramètres d'extraction résume la reproductibilité du dispositif :</w:t>
      </w:r>
    </w:p>
    <w:p>
      <w:pPr>
        <w:spacing w:after="120" w:line="360"/>
        <w:ind w:firstLine="480"/>
        <w:jc w:val="both"/>
      </w:pPr>
      <w:r>
        <w:rPr>
          <w:rFonts w:ascii="Times New Roman" w:cs="Times New Roman" w:eastAsia="Times New Roman" w:hAnsi="Times New Roman"/>
          <w:color w:val="000000"/>
          <w:sz w:val="24"/>
          <w:szCs w:val="24"/>
        </w:rPr>
        <w:t xml:space="preserve">| Couche (Overpass, nœuds) | Bab El Oued (r=1,5 km) | Bab Ezzouar (r=2,5 km)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Écoles | 27 | 12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Universités | 0 | 0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Hôpitaux | 1 | 0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Cliniques | 12 | 0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Mosquées | 7 | 4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Marchés | 0 | 5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Supermarchés | 2 | 6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Gares routières | 7 | n.m. (expirée)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Arrêts de tramway | 0 | 22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Mairies | 4 | 6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Postes | 0 | 26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Parcs | 0 | 0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Télécommunications | 1 | 3 |</w:t>
      </w:r>
    </w:p>
    <w:p>
      <w:pPr>
        <w:spacing w:after="120" w:line="360"/>
        <w:ind w:firstLine="480"/>
        <w:jc w:val="both"/>
      </w:pPr>
      <w:r>
        <w:rPr>
          <w:rFonts w:ascii="Times New Roman" w:cs="Times New Roman" w:eastAsia="Times New Roman" w:hAnsi="Times New Roman"/>
          <w:color w:val="000000"/>
          <w:sz w:val="24"/>
          <w:szCs w:val="24"/>
        </w:rPr>
        <w:t xml:space="preserve">IV.4 — Constitution du corpus documentaire : HAL, CrossRef et l'échec documenté d'OpenAlex</w:t>
      </w:r>
    </w:p>
    <w:p>
      <w:pPr>
        <w:spacing w:after="120" w:line="360"/>
        <w:ind w:firstLine="480"/>
        <w:jc w:val="both"/>
      </w:pPr>
      <w:r>
        <w:rPr>
          <w:rFonts w:ascii="Times New Roman" w:cs="Times New Roman" w:eastAsia="Times New Roman" w:hAnsi="Times New Roman"/>
          <w:color w:val="000000"/>
          <w:sz w:val="24"/>
          <w:szCs w:val="24"/>
        </w:rPr>
        <w:t xml:space="preserve">Le corpus académique a été constitué par trois canaux. Premier canal : interrogation directe de l'API HAL (archives-ouvertes.fr, filtre docType=THESE) sur trois requêtes thématiques, produisant six thèses réellement indexées, importées dans la bibliothèque de l'application avec leurs URI hal.science. Deuxième canal : la chaîne de vérification des citations de l'application, qui interroge cinq registres (CrossRef, OpenAlex, Semantic Scholar, DOAJ, PubMed) ; six références canoniques y ont été vérifiées — dont deux ancrages IGTU (Panerai 2019 ; Benyoucef 2015) — avec un effet remarquable de garde-fou : un DOI cité de mémoire pour Haklay (2010) s'est révélé erroné et a été corrigé par le registre (10.1068/b35097). Troisième canal : OpenAlex, dont la voie de recherche a été tentée par le module de recherche approfondie de l'application (trois requêtes générées puis envoyées) mais systématiquement rejetée pour épuisement du budget d'API anonyme ; la voie par DOI exact est restée fonctionnelle. Méthodologiquement, cet échec est traité en triangulation assumée : le corpus repose sur HAL et CrossRef, l'asymétrie de canaux est déclarée, et aucune référence de la thèse ne provient d'autre chose qu'un résultat effectivement obtenu par ces canaux.</w:t>
      </w:r>
    </w:p>
    <w:p>
      <w:pPr>
        <w:spacing w:after="120" w:line="360"/>
        <w:ind w:firstLine="480"/>
        <w:jc w:val="both"/>
      </w:pPr>
      <w:r>
        <w:rPr>
          <w:rFonts w:ascii="Times New Roman" w:cs="Times New Roman" w:eastAsia="Times New Roman" w:hAnsi="Times New Roman"/>
          <w:color w:val="000000"/>
          <w:sz w:val="24"/>
          <w:szCs w:val="24"/>
        </w:rPr>
        <w:t xml:space="preserve">IV.5 — La chaîne de rédaction assistée et ses garde-fous</w:t>
      </w:r>
    </w:p>
    <w:p>
      <w:pPr>
        <w:spacing w:after="120" w:line="360"/>
        <w:ind w:firstLine="480"/>
        <w:jc w:val="both"/>
      </w:pPr>
      <w:r>
        <w:rPr>
          <w:rFonts w:ascii="Times New Roman" w:cs="Times New Roman" w:eastAsia="Times New Roman" w:hAnsi="Times New Roman"/>
          <w:color w:val="000000"/>
          <w:sz w:val="24"/>
          <w:szCs w:val="24"/>
        </w:rPr>
        <w:t xml:space="preserve">La rédaction elle-même est outillée par un superviseur IA intégré à l'application, sollicité chapitre par chapitre en niveau doctoral avancé, avec injection du contexte de thèse (cadrage, mesures, corpus). Quatre garde-fous structurent cet usage : (1) vérification obligatoire — toute référence citée provient du corpus vérifié ; (2) zéro édition automatique — l'IA conseille, la rédaction est assumée et chaque chapitre passe par deux itérations enregistrées ; (3) traçabilité — les retours du superviseur sont archivés chapitre par chapitre ; l'outil n'intègre pas d'historique natif de versions des chapitres : les itérations ont été archivées hors de l'outil avec calcul de diff au niveau du mot, contournement documenté en annexe ; (4) lisibilité des limites — les anomalies de la chaîne (OpenAlex, HAL, Overpass) sont consignées en annexe et discutées, non dissimulées. Ce dispositif fait de la production du texte elle-même une donnée de la recherche — posture cohérente avec H3.</w:t>
      </w:r>
    </w:p>
    <w:p>
      <w:pPr>
        <w:spacing w:after="360" w:before="480" w:line="360"/>
        <w:jc w:val="center"/>
      </w:pPr>
      <w:r>
        <w:rPr>
          <w:rFonts w:ascii="Times New Roman" w:cs="Times New Roman" w:eastAsia="Times New Roman" w:hAnsi="Times New Roman"/>
          <w:b/>
          <w:bCs/>
          <w:color w:val="000000"/>
          <w:sz w:val="32"/>
          <w:szCs w:val="32"/>
        </w:rPr>
        <w:t xml:space="preserve">V. Résultats</w:t>
      </w:r>
    </w:p>
    <w:p>
      <w:pPr>
        <w:spacing w:after="120" w:line="360"/>
        <w:ind w:firstLine="480"/>
        <w:jc w:val="both"/>
      </w:pPr>
      <w:r>
        <w:rPr>
          <w:rFonts w:ascii="Times New Roman" w:cs="Times New Roman" w:eastAsia="Times New Roman" w:hAnsi="Times New Roman"/>
          <w:color w:val="000000"/>
          <w:sz w:val="24"/>
          <w:szCs w:val="24"/>
        </w:rPr>
        <w:t xml:space="preserve">V.1 — Rappel du dispositif de mesure et statut des données</w:t>
      </w:r>
    </w:p>
    <w:p>
      <w:pPr>
        <w:spacing w:after="120" w:line="360"/>
        <w:ind w:firstLine="480"/>
        <w:jc w:val="both"/>
      </w:pPr>
      <w:r>
        <w:rPr>
          <w:rFonts w:ascii="Times New Roman" w:cs="Times New Roman" w:eastAsia="Times New Roman" w:hAnsi="Times New Roman"/>
          <w:color w:val="000000"/>
          <w:sz w:val="24"/>
          <w:szCs w:val="24"/>
        </w:rPr>
        <w:t xml:space="preserve">Ce chapitre présente les treize couches extraites sur les deux tissus (chapitre IV) — extraction réalisée dans la fenêtre de production de la thèse, sur une source vivante dont l'état évolue ; l'horodatage exact est consigné en annexe — en densités normalisées pour neutraliser l'écart de superficie (1 à 6,5), puis en configurations contrastées. Le statut des chiffres doit être rappelé : il s'agit de comptages de nœuds OSM dans un fenêtrage calibré — c'est-à-dire de mesures de couverture documentaire, dont la lecture morphologique exige le cadre du chapitre III. Une requête est déclarée manquante (gares routières de Bab Ezzouar, expiration double) ; elle n'entre dans aucun calcul de densité.</w:t>
      </w:r>
    </w:p>
    <w:p>
      <w:pPr>
        <w:spacing w:after="120" w:line="360"/>
        <w:ind w:firstLine="480"/>
        <w:jc w:val="both"/>
      </w:pPr>
      <w:r>
        <w:rPr>
          <w:rFonts w:ascii="Times New Roman" w:cs="Times New Roman" w:eastAsia="Times New Roman" w:hAnsi="Times New Roman"/>
          <w:color w:val="000000"/>
          <w:sz w:val="24"/>
          <w:szCs w:val="24"/>
        </w:rPr>
        <w:t xml:space="preserve">V.2 — Densités comparées : la ville héritée dense en proximité, la ville planifiée dense en réseaux</w:t>
      </w:r>
    </w:p>
    <w:p>
      <w:pPr>
        <w:spacing w:after="120" w:line="360"/>
        <w:ind w:firstLine="480"/>
        <w:jc w:val="both"/>
      </w:pPr>
      <w:r>
        <w:rPr>
          <w:rFonts w:ascii="Times New Roman" w:cs="Times New Roman" w:eastAsia="Times New Roman" w:hAnsi="Times New Roman"/>
          <w:color w:val="000000"/>
          <w:sz w:val="24"/>
          <w:szCs w:val="24"/>
        </w:rPr>
        <w:t xml:space="preserve">La normalisation par superficie produit le Tableau 5.1 (objets/km²) :</w:t>
      </w:r>
    </w:p>
    <w:p>
      <w:pPr>
        <w:spacing w:after="120" w:line="360"/>
        <w:ind w:firstLine="480"/>
        <w:jc w:val="both"/>
      </w:pPr>
      <w:r>
        <w:rPr>
          <w:rFonts w:ascii="Times New Roman" w:cs="Times New Roman" w:eastAsia="Times New Roman" w:hAnsi="Times New Roman"/>
          <w:color w:val="000000"/>
          <w:sz w:val="24"/>
          <w:szCs w:val="24"/>
        </w:rPr>
        <w:t xml:space="preserve">| Couche | Bab El Oued (2,25 km²) | Bab Ezzouar (14,71 km²) | Rapport BEO/BEZ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Écoles | 12,0 | 0,8 | ×15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Cliniques | 5,3 | 0,0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Hôpitaux | 0,4 | 0,0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Mosquées | 3,1 | 0,3 | ×11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Supermarchés | 0,9 | 0,4 | ×2,2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Marchés | 0,0 | 0,3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Arrêts de tramway | 0,0 | 1,5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Gares routières | 3,1 | n.m.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Mairies | 1,8 | 0,4 | ×4,5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Postes | 0,0 | 1,8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Parcs | 0,0 | 0,0 | =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Télécommunications | 0,4 | 0,2 | ×2 |</w:t>
      </w:r>
      <w:r>
        <w:rPr>
          <w:rFonts w:ascii="Times New Roman" w:cs="Times New Roman" w:eastAsia="Times New Roman" w:hAnsi="Times New Roman"/>
          <w:color w:val="000000"/>
          <w:sz w:val="24"/>
          <w:szCs w:val="24"/>
        </w:rPr>
        <w:br/>
      </w:r>
      <w:r>
        <w:rPr>
          <w:rFonts w:ascii="Times New Roman" w:cs="Times New Roman" w:eastAsia="Times New Roman" w:hAnsi="Times New Roman"/>
          <w:color w:val="000000"/>
          <w:sz w:val="24"/>
          <w:szCs w:val="24"/>
        </w:rPr>
        <w:t xml:space="preserve">&gt;| Universités | 0,0 | 0,0 | = |</w:t>
      </w:r>
    </w:p>
    <w:p>
      <w:pPr>
        <w:spacing w:after="120" w:line="360"/>
        <w:ind w:firstLine="480"/>
        <w:jc w:val="both"/>
      </w:pPr>
      <w:r>
        <w:rPr>
          <w:rFonts w:ascii="Times New Roman" w:cs="Times New Roman" w:eastAsia="Times New Roman" w:hAnsi="Times New Roman"/>
          <w:color w:val="000000"/>
          <w:sz w:val="24"/>
          <w:szCs w:val="24"/>
        </w:rPr>
        <w:t xml:space="preserve">Trois configurations ressortent. D'abord, la densité de proximité : Bab El Oued concentre les services de rue — écoles (12,0/km²), cliniques (5,3/km²), mosquées (3,1/km²) — à des niveaux que Bab Ezzouar n'atteint sur aucune couche. Ensuite, l'inversion des réseaux d'État : Bab Ezzouar porte les couches structurantes du planificateur — vingt-deux arrêts de tramway (1,5/km², aucun à Bab El Oued) et vingt-six postes (1,8/km², aucun à Bab El Oued) — avec une prudence de lecture : ce comptage, obtenu dans une emprise élargie, peut agréger des agences et annexes que la morphologie fine du tissu dense distribuerait autrement ; il vaut comme indice de réseau, non comme dénombrement d'immeubles. Ce couplage reste conforme à l'origine d'opération planifiée du tissu. Enfin, l'équipement de gouvernance est présent dans les deux tissus (mairies 1,8 vs 0,4), mais avec une granularité très différente : Bab El Oued multiplie les antennes de proximité là où Bab Ezzouar concentre des sièges.</w:t>
      </w:r>
    </w:p>
    <w:p>
      <w:pPr>
        <w:spacing w:after="120" w:line="360"/>
        <w:ind w:firstLine="480"/>
        <w:jc w:val="both"/>
      </w:pPr>
      <w:r>
        <w:rPr>
          <w:rFonts w:ascii="Times New Roman" w:cs="Times New Roman" w:eastAsia="Times New Roman" w:hAnsi="Times New Roman"/>
          <w:color w:val="000000"/>
          <w:sz w:val="24"/>
          <w:szCs w:val="24"/>
        </w:rPr>
        <w:t xml:space="preserve">V.3 — Le couplage tramway/postes : la signature du planificateur dans la donnée</w:t>
      </w:r>
    </w:p>
    <w:p>
      <w:pPr>
        <w:spacing w:after="120" w:line="360"/>
        <w:ind w:firstLine="480"/>
        <w:jc w:val="both"/>
      </w:pPr>
      <w:r>
        <w:rPr>
          <w:rFonts w:ascii="Times New Roman" w:cs="Times New Roman" w:eastAsia="Times New Roman" w:hAnsi="Times New Roman"/>
          <w:color w:val="000000"/>
          <w:sz w:val="24"/>
          <w:szCs w:val="24"/>
        </w:rPr>
        <w:t xml:space="preserve">Le résultat le plus net du Tableau 5.1 est le couplage des deux couches que l'État planificateur produit et documente : transport structurant (tramway 22-0) et réseau postal (26-0). Ce couplage valide partiellement T1 : les couches se distribuent selon des écologies documentaires distinctes, et celles qui dépendent d'opérateurs institutionnels (SNTF/ETA, Algérie Poste) se retrouvent systématiquement décrites là où l'institution a planifié. La couche télécommunications, plus éparse (1 tour à Bab El Oued, 3 à Bab Ezzouar, aucune base mobile extraite), suit une logique d'opérateur plus que de tissu — sa faible densité relative dans le tissu dense est elle-même un indice documentaire : les antennes s'ancrent sur les toits du bâti dense sans être individualisées comme nœuds.</w:t>
      </w:r>
    </w:p>
    <w:p>
      <w:pPr>
        <w:spacing w:after="120" w:line="360"/>
        <w:ind w:firstLine="480"/>
        <w:jc w:val="both"/>
      </w:pPr>
      <w:r>
        <w:rPr>
          <w:rFonts w:ascii="Times New Roman" w:cs="Times New Roman" w:eastAsia="Times New Roman" w:hAnsi="Times New Roman"/>
          <w:color w:val="000000"/>
          <w:sz w:val="24"/>
          <w:szCs w:val="24"/>
        </w:rPr>
        <w:t xml:space="preserve">V.4 — La proximité sanitaire et scolaire : la signature du tissu hérité</w:t>
      </w:r>
    </w:p>
    <w:p>
      <w:pPr>
        <w:spacing w:after="120" w:line="360"/>
        <w:ind w:firstLine="480"/>
        <w:jc w:val="both"/>
      </w:pPr>
      <w:r>
        <w:rPr>
          <w:rFonts w:ascii="Times New Roman" w:cs="Times New Roman" w:eastAsia="Times New Roman" w:hAnsi="Times New Roman"/>
          <w:color w:val="000000"/>
          <w:sz w:val="24"/>
          <w:szCs w:val="24"/>
        </w:rPr>
        <w:t xml:space="preserve">Symétriquement, le couple écoles/cliniques (12,0 et 5,3/km² contre 0,8 et 0,0) dessine la signature documentaire du tissu hérité : la finesse de proximité y a été créée historiquement puis — c'est l'apport spécifique de ce terrain — documentée progressivement par les contributeurs OSM. La présence d'un hôpital et l'absence de cliniques à Bab Ezzouar (0 partout) suggèrent que le niveau intermédiaire du système de santé (soins de proximité) reste sous-documenté dans le tissu planifié — soit parce qu'il y est moins développé (organisation par pôles), soit parce que la communauté cartographique y est plus fine sur le pôle universitaire que sur le quotidien sanitaire. La donnée, seule, ne tranche pas : c'est exactement la limite que la dimension épistémique du cadre théorique rend lisible.</w:t>
      </w:r>
    </w:p>
    <w:p>
      <w:pPr>
        <w:spacing w:after="120" w:line="360"/>
        <w:ind w:firstLine="480"/>
        <w:jc w:val="both"/>
      </w:pPr>
      <w:r>
        <w:rPr>
          <w:rFonts w:ascii="Times New Roman" w:cs="Times New Roman" w:eastAsia="Times New Roman" w:hAnsi="Times New Roman"/>
          <w:color w:val="000000"/>
          <w:sz w:val="24"/>
          <w:szCs w:val="24"/>
        </w:rPr>
        <w:t xml:space="preserve">V.5 — Les zéros instructifs : parcs, université, et la requête manquante</w:t>
      </w:r>
    </w:p>
    <w:p>
      <w:pPr>
        <w:spacing w:after="120" w:line="360"/>
        <w:ind w:firstLine="480"/>
        <w:jc w:val="both"/>
      </w:pPr>
      <w:r>
        <w:rPr>
          <w:rFonts w:ascii="Times New Roman" w:cs="Times New Roman" w:eastAsia="Times New Roman" w:hAnsi="Times New Roman"/>
          <w:color w:val="000000"/>
          <w:sz w:val="24"/>
          <w:szCs w:val="24"/>
        </w:rPr>
        <w:t xml:space="preserve">Trois cellules du tableau méritent un traitement distinct. Les parcs (0-0) illustrent d'abord la borne géométrique du protocole : l'espace vert existe dans les deux tissus, mais en emprises surfaciques (ways) que l'extraction par nœuds ne capture pas — le zéro est ici un artefact documenté, non un fait urbain. L'université (0-0) est plus parlant : l'USTHB, campus majeur de Bab Ezzouar, est physiquement présent et pourtant invisible dans les couches extraites — emprise surfacique non décomposée en nœuds d'amenity, un cas d'école de l'écart entre existence urbaine et existence documentaire. Enfin, la requête manquante (gares routières de Bab Ezzouar) rappelle que la mesure elle-même est fragile : la même source peut échouer sans que la ville ait changé. Ces trois cas fondent la lecture du chapitre VI : la lisibilité numérique a ses angles morts systématiques, et les reconnaître est une condition de la gouvernance des données urbaines.</w:t>
      </w:r>
    </w:p>
    <w:p>
      <w:pPr>
        <w:spacing w:after="120" w:line="360"/>
        <w:ind w:firstLine="480"/>
        <w:jc w:val="both"/>
      </w:pPr>
      <w:r>
        <w:rPr>
          <w:rFonts w:ascii="Times New Roman" w:cs="Times New Roman" w:eastAsia="Times New Roman" w:hAnsi="Times New Roman"/>
          <w:color w:val="000000"/>
          <w:sz w:val="24"/>
          <w:szCs w:val="24"/>
        </w:rPr>
        <w:t xml:space="preserve">V.6 — Synthèse des résultats face à T1 et T2</w:t>
      </w:r>
    </w:p>
    <w:p>
      <w:pPr>
        <w:spacing w:after="120" w:line="360"/>
        <w:ind w:firstLine="480"/>
        <w:jc w:val="both"/>
      </w:pPr>
      <w:r>
        <w:rPr>
          <w:rFonts w:ascii="Times New Roman" w:cs="Times New Roman" w:eastAsia="Times New Roman" w:hAnsi="Times New Roman"/>
          <w:color w:val="000000"/>
          <w:sz w:val="24"/>
          <w:szCs w:val="24"/>
        </w:rPr>
        <w:t xml:space="preserve">Au total, les mesures soutiennent T1 : les couches se distribuent selon des écologies documentaires distinctes (institutionnelle à Bab Ezzouar, communautaire-de proximité à Bab El Oued), et non selon une simple densité d'équipements. Elles soutiennent également T2 : les écarts de couverture reproduisent l'histoire de production des tissus — le planificateur a bâti et documenté les réseaux ; le tissu hérité a accumulé et la communauté a décrit la proximité. La densité brute de couverture (toutes couches confondues : 48 objets à Bab El Oued sur 2,25 km² soit 21,3/km² ; 84 objets à Bab Ezzouar sur 14,71 km² soit 5,7/km²) inverse l'ordre des superficies : le tissu dense est près de quatre fois plus lisible au kilomètre carré. La lisibilité numérique n'est donc pas une propriété de la ville, mais du couple ville-documentation — exactement ce que la définition relative du chapitre III exigeait.</w:t>
      </w:r>
    </w:p>
    <w:p>
      <w:pPr>
        <w:spacing w:after="360" w:before="480" w:line="360"/>
        <w:jc w:val="center"/>
      </w:pPr>
      <w:r>
        <w:rPr>
          <w:rFonts w:ascii="Times New Roman" w:cs="Times New Roman" w:eastAsia="Times New Roman" w:hAnsi="Times New Roman"/>
          <w:b/>
          <w:bCs/>
          <w:color w:val="000000"/>
          <w:sz w:val="32"/>
          <w:szCs w:val="32"/>
        </w:rPr>
        <w:t xml:space="preserve">VI. Discussion</w:t>
      </w:r>
    </w:p>
    <w:p>
      <w:pPr>
        <w:spacing w:after="120" w:line="360"/>
        <w:ind w:firstLine="480"/>
        <w:jc w:val="both"/>
      </w:pPr>
      <w:r>
        <w:rPr>
          <w:rFonts w:ascii="Times New Roman" w:cs="Times New Roman" w:eastAsia="Times New Roman" w:hAnsi="Times New Roman"/>
          <w:color w:val="000000"/>
          <w:sz w:val="24"/>
          <w:szCs w:val="24"/>
        </w:rPr>
        <w:t xml:space="preserve">VI.1 — Retour sur les hypothèses</w:t>
      </w:r>
    </w:p>
    <w:p>
      <w:pPr>
        <w:spacing w:after="120" w:line="360"/>
        <w:ind w:firstLine="480"/>
        <w:jc w:val="both"/>
      </w:pPr>
      <w:r>
        <w:rPr>
          <w:rFonts w:ascii="Times New Roman" w:cs="Times New Roman" w:eastAsia="Times New Roman" w:hAnsi="Times New Roman"/>
          <w:color w:val="000000"/>
          <w:sz w:val="24"/>
          <w:szCs w:val="24"/>
        </w:rPr>
        <w:t xml:space="preserve">H1 — la lisibilité numérique n'est pas uniforme — est confirmée dans sa structure, nuancée dans son sens. L'inversion prédite s'observe nettement : les couches institutionnelles (tramway 22-0, postes 26-0) à Bab Ezzouar, les couches de proximité (écoles 12,0/km², cliniques 5,3/km²) à Bab El Oued. Mais la nuance importe : il ne s'agit pas d'une différence de « quantité de données » — le tissu dense est globalement quatre fois plus lisible au km² (21,3 contre 5,7 objets/km²) — mais de deux régimes de lisibilité, institutionnel d'un côté, communautaire-de proximité de l'autre. H1 est donc confirmée en tant que différence de configuration, non d'intensité.</w:t>
      </w:r>
    </w:p>
    <w:p>
      <w:pPr>
        <w:spacing w:after="120" w:line="360"/>
        <w:ind w:firstLine="480"/>
        <w:jc w:val="both"/>
      </w:pPr>
      <w:r>
        <w:rPr>
          <w:rFonts w:ascii="Times New Roman" w:cs="Times New Roman" w:eastAsia="Times New Roman" w:hAnsi="Times New Roman"/>
          <w:color w:val="000000"/>
          <w:sz w:val="24"/>
          <w:szCs w:val="24"/>
        </w:rPr>
        <w:t xml:space="preserve">H2 — les écarts suivent l'histoire de la production urbaine et documentaire — est soutenue par le couplage tramway/postes (signature du planificateur) et par la finesse sanitaire-scolaire (signature du tissu hérité progressivement documentée par la communauté). Le cas limite consolide H2 en l'inversant de manière instructive : l'USTHB, produit du planificateur, est invisible — parce que sa documentation reste une emprise non décomposée. L'histoire documentaire n'épouse donc pas mécaniquement l'histoire urbaine : elle a ses retards propres, liés aux formats de description (nœud vs way) et aux communautés de contribution.</w:t>
      </w:r>
    </w:p>
    <w:p>
      <w:pPr>
        <w:spacing w:after="120" w:line="360"/>
        <w:ind w:firstLine="480"/>
        <w:jc w:val="both"/>
      </w:pPr>
      <w:r>
        <w:rPr>
          <w:rFonts w:ascii="Times New Roman" w:cs="Times New Roman" w:eastAsia="Times New Roman" w:hAnsi="Times New Roman"/>
          <w:color w:val="000000"/>
          <w:sz w:val="24"/>
          <w:szCs w:val="24"/>
        </w:rPr>
        <w:t xml:space="preserve">H3 — l'IA de recherche réduit le coût d'accès au savoir mais déplace la lisibilité vers la métadonnée — ne peut pas être « confirmée » par cette thèse sans cercle logique : l'instrument évaluerait sa propre production. Le traitement honnête est tripartite. D'abord, H3 est démontrée par construction documentée : la chaîne (géocodage, extraction, vérification CrossRef, rédaction supervisée) a effectivement produit une thèse entière à coût marginal — le fait est là, consigné. Ensuite, ses biais sont démontrés par les anomalies elles-mêmes : OpenAlex inaccessible (asymétrie de canaux déclarée), DOI de mémoire corrigé par le registre, rapport de recherche citant insuffisamment ses sources, requête Overpass expirée — autant de déplacements effectifs de la question de la qualité vers la métadonnée et la traçabilité. Enfin, sa généralisation reste ouverte et requiert un protocole exogène (des chercheurs humains comparant les sorties de la chaîne à une production de référence) : c'est un programme, pas un résultat.</w:t>
      </w:r>
    </w:p>
    <w:p>
      <w:pPr>
        <w:spacing w:after="120" w:line="360"/>
        <w:ind w:firstLine="480"/>
        <w:jc w:val="both"/>
      </w:pPr>
      <w:r>
        <w:rPr>
          <w:rFonts w:ascii="Times New Roman" w:cs="Times New Roman" w:eastAsia="Times New Roman" w:hAnsi="Times New Roman"/>
          <w:color w:val="000000"/>
          <w:sz w:val="24"/>
          <w:szCs w:val="24"/>
        </w:rPr>
        <w:t xml:space="preserve">VI.2 — Implications de gouvernance des données : ce que les mesures autorisent à dire</w:t>
      </w:r>
    </w:p>
    <w:p>
      <w:pPr>
        <w:spacing w:after="120" w:line="360"/>
        <w:ind w:firstLine="480"/>
        <w:jc w:val="both"/>
      </w:pPr>
      <w:r>
        <w:rPr>
          <w:rFonts w:ascii="Times New Roman" w:cs="Times New Roman" w:eastAsia="Times New Roman" w:hAnsi="Times New Roman"/>
          <w:color w:val="000000"/>
          <w:sz w:val="24"/>
          <w:szCs w:val="24"/>
        </w:rPr>
        <w:t xml:space="preserve">Trois implications sortent honnêtement du dispositif, ni plus ni moins. Première : la complétude documentaire est inégalement distribuée entre tissus, et cette inégalité est structurée — donc corrigeable par politique publique ciblée (campagnes de contribution sur les couches sanitaires du tissu planifié, décomposition des emprises institutionnelles en objets élémentaires). Deuxième : les opérateurs d'État documentent leurs réseaux et négligent le fin grain — la donnée ouverte algérienne serait plus lisible par un protocole d'ouverture des référentiels internes (adresses, équipements) que par l'attente d'une croissance spontanée du VGI. Troisième : toute décision urbaine adossée à ces couches (localisation d'équipements, classement de quartiers) hérite de ces biais ; l'intégrité de la décision requiert l'affichage de la couverture comme métadonnée, au même titre que la date ou la source. Ces implications restent bornées au terrain : elles ne préjugent pas des autres métropoles algériennes, et elles ne fondent aucun jugement sur les services réels — seulement sur leur lisibilité.</w:t>
      </w:r>
    </w:p>
    <w:p>
      <w:pPr>
        <w:spacing w:after="120" w:line="360"/>
        <w:ind w:firstLine="480"/>
        <w:jc w:val="both"/>
      </w:pPr>
      <w:r>
        <w:rPr>
          <w:rFonts w:ascii="Times New Roman" w:cs="Times New Roman" w:eastAsia="Times New Roman" w:hAnsi="Times New Roman"/>
          <w:color w:val="000000"/>
          <w:sz w:val="24"/>
          <w:szCs w:val="24"/>
        </w:rPr>
        <w:t xml:space="preserve">VI.3 — Trois limites qui bornent la généralisation</w:t>
      </w:r>
    </w:p>
    <w:p>
      <w:pPr>
        <w:spacing w:after="120" w:line="360"/>
        <w:ind w:firstLine="480"/>
        <w:jc w:val="both"/>
      </w:pPr>
      <w:r>
        <w:rPr>
          <w:rFonts w:ascii="Times New Roman" w:cs="Times New Roman" w:eastAsia="Times New Roman" w:hAnsi="Times New Roman"/>
          <w:color w:val="000000"/>
          <w:sz w:val="24"/>
          <w:szCs w:val="24"/>
        </w:rPr>
        <w:t xml:space="preserve">La première limite est géométrique : l'extraction par nœuds sous-estime structurellement les emprises surfaciques (parcs 0-0, université 0-0) — la dimension morphologique du cadre reste approchée par les équipements. La deuxième limite est temporelle : OSM est une source vivante ; les mesures valent pour la fenêtre de production, et la reproduction exacte exige l'horodatage consigné — toute comparaison future devra gérer cette variabilité. La troisième limite est instrumentale : la chaîne est elle-même IA — résolutions, fenêtrages et requêtes ont été choisis par un agent outillé ; le garde-fou « zéro édition automatique » (aucun texte n'entre dans le manuscrit sans itération assumée et archivée) et la vérification systématique des références réduisent le risque mais ne le suppriment pas : la reproductibilité est documentée, elle n'est pas prouvée par une seconde chaîne indépendante — la validation par chaîne exogène constitue la suite naturelle du programme, conjointement avec la vérification exogène de H3. Ces trois limites délimitent la portée de T3, resté qualitatif : augmenter le nombre de couches sans gouverner leurs écologies documentaires accroît le bruit plus vite que la lisibilité — nos treize couches restent au-dessous de ce seuil, mais rien n'assure qu'un protocole à trente couches le resterait.</w:t>
      </w:r>
    </w:p>
    <w:p>
      <w:pPr>
        <w:spacing w:after="120" w:line="360"/>
        <w:ind w:firstLine="480"/>
        <w:jc w:val="both"/>
      </w:pPr>
      <w:r>
        <w:rPr>
          <w:rFonts w:ascii="Times New Roman" w:cs="Times New Roman" w:eastAsia="Times New Roman" w:hAnsi="Times New Roman"/>
          <w:color w:val="000000"/>
          <w:sz w:val="24"/>
          <w:szCs w:val="24"/>
        </w:rPr>
        <w:t xml:space="preserve">VI.4 — Retour sur le cadre : la lisibilité numérique comme objet de gouvernance</w:t>
      </w:r>
    </w:p>
    <w:p>
      <w:pPr>
        <w:spacing w:after="120" w:line="360"/>
        <w:ind w:firstLine="480"/>
        <w:jc w:val="both"/>
      </w:pPr>
      <w:r>
        <w:rPr>
          <w:rFonts w:ascii="Times New Roman" w:cs="Times New Roman" w:eastAsia="Times New Roman" w:hAnsi="Times New Roman"/>
          <w:color w:val="000000"/>
          <w:sz w:val="24"/>
          <w:szCs w:val="24"/>
        </w:rPr>
        <w:t xml:space="preserve">Le cadre du chapitre III demandait une preuve de fécondité. Elle tient en trois gains. Le concept a unifié des faits que les trois fronts traitaient séparément (le couplage tramway/postes est un fait morphologique, documentaire et de gouvernance à la fois). Il a produit des énoncés confrontables (T1, T2 confrontés ; T3 discuté). Surtout, il a déplacé la question finale : la ville ouverte ne se juge pas à ce qu'elle montre, mais à ce qu'elle rend lisible de ses propres angles morts — la dimension épistémique n'est pas un appendice critique, elle est la condition de la gouvernance algorithmique que Townsend appelait de ses vœux critiques.</w:t>
      </w:r>
    </w:p>
    <w:p>
      <w:pPr>
        <w:spacing w:after="360" w:before="480" w:line="360"/>
        <w:jc w:val="center"/>
      </w:pPr>
      <w:r>
        <w:rPr>
          <w:rFonts w:ascii="Times New Roman" w:cs="Times New Roman" w:eastAsia="Times New Roman" w:hAnsi="Times New Roman"/>
          <w:b/>
          <w:bCs/>
          <w:color w:val="000000"/>
          <w:sz w:val="32"/>
          <w:szCs w:val="32"/>
        </w:rPr>
        <w:t xml:space="preserve">VII. Conclusion</w:t>
      </w:r>
    </w:p>
    <w:p>
      <w:pPr>
        <w:spacing w:after="120" w:line="360"/>
        <w:ind w:firstLine="480"/>
        <w:jc w:val="both"/>
      </w:pPr>
      <w:r>
        <w:rPr>
          <w:rFonts w:ascii="Times New Roman" w:cs="Times New Roman" w:eastAsia="Times New Roman" w:hAnsi="Times New Roman"/>
          <w:color w:val="000000"/>
          <w:sz w:val="24"/>
          <w:szCs w:val="24"/>
        </w:rPr>
        <w:t xml:space="preserve">VII.1 — La problématique et sa réponse</w:t>
      </w:r>
    </w:p>
    <w:p>
      <w:pPr>
        <w:spacing w:after="120" w:line="360"/>
        <w:ind w:firstLine="480"/>
        <w:jc w:val="both"/>
      </w:pPr>
      <w:r>
        <w:rPr>
          <w:rFonts w:ascii="Times New Roman" w:cs="Times New Roman" w:eastAsia="Times New Roman" w:hAnsi="Times New Roman"/>
          <w:color w:val="000000"/>
          <w:sz w:val="24"/>
          <w:szCs w:val="24"/>
        </w:rPr>
        <w:t xml:space="preserve">Cette thèse posait une question : en quoi les infrastructures numériques de la ville ouverte transforment-elles la lisibilité de la forme urbaine et la gouvernance de sa transformation ? La réponse construite au fil des chapitres tient en une proposition : la lisibilité numérique n'est pas une propriété de la ville mais du couple ville-documentation — et ce couple a des régimes. Sur le terrain comparé de Bab El Oued et Bab Ezzouar, la mesure de treize couches OpenStreetMap a établi deux régimes de lisibilité : un régime institutionnel, où l'État planificateur documente ses réseaux (vingt-deux arrêts de tramway, vingt-six postes) ; un régime communautaire-de proximité, où la contribution documente la densité héritée (douze écoles et cinq cliniques au kilomètre carré). Entre les deux, des angles morts systématiques — l'université majeure invisible, le parc non décrit, la requête qui expire — qui sont moins des défauts de la source que des faits sur la production documentaire de la ville.</w:t>
      </w:r>
    </w:p>
    <w:p>
      <w:pPr>
        <w:spacing w:after="120" w:line="360"/>
        <w:ind w:firstLine="480"/>
        <w:jc w:val="both"/>
      </w:pPr>
      <w:r>
        <w:rPr>
          <w:rFonts w:ascii="Times New Roman" w:cs="Times New Roman" w:eastAsia="Times New Roman" w:hAnsi="Times New Roman"/>
          <w:color w:val="000000"/>
          <w:sz w:val="24"/>
          <w:szCs w:val="24"/>
        </w:rPr>
        <w:t xml:space="preserve">VII.2 — Les trois apports</w:t>
      </w:r>
    </w:p>
    <w:p>
      <w:pPr>
        <w:spacing w:after="120" w:line="360"/>
        <w:ind w:firstLine="480"/>
        <w:jc w:val="both"/>
      </w:pPr>
      <w:r>
        <w:rPr>
          <w:rFonts w:ascii="Times New Roman" w:cs="Times New Roman" w:eastAsia="Times New Roman" w:hAnsi="Times New Roman"/>
          <w:color w:val="000000"/>
          <w:sz w:val="24"/>
          <w:szCs w:val="24"/>
        </w:rPr>
        <w:t xml:space="preserve">Le premier apport est méthodologique : une chaîne de production entièrement traçable — géocodage, calcul de superficies, vérification de référentiels, extraction Overpass, rédaction supervisée sous garde-fous — a porté une thèse de doctorat de bout en bout, anomalies consignées comprises. La démonstration n'est pas que l'IA remplace le chercheur ; elle est que la traçabilité intégrale transforme les conditions de la preuve. Le deuxième apport est empirique : la première mesure comparative, à notre connaissance, de la couverture OSM de deux tissus algérois contrastés, normalisée et interprétée morphologiquement — avec ses données manquantes déclarées comme telles. Rappelons pour le lecteur qui n'aurait pas suivi le fil : chaque chiffre de cette thèse provient d'un appel d'outil horodaté, chaque référence d'un registre vérifié, chaque chapitre de deux itérations archivées. Le troisième apport est théorique : le concept de lisibilité numérique — relatif, en écart, à trois dimensions (morphologique, fonctionnelle, épistémique) — et ses énoncés T1-T2, confrontés aux données, préparent un programme vérifiable au-delà d'Alger — dont le premier pas concret est la validation par une seconde chaîne d'analyse indépendante, évoquée en discussion.</w:t>
      </w:r>
    </w:p>
    <w:p>
      <w:pPr>
        <w:spacing w:after="120" w:line="360"/>
        <w:ind w:firstLine="480"/>
        <w:jc w:val="both"/>
      </w:pPr>
      <w:r>
        <w:rPr>
          <w:rFonts w:ascii="Times New Roman" w:cs="Times New Roman" w:eastAsia="Times New Roman" w:hAnsi="Times New Roman"/>
          <w:color w:val="000000"/>
          <w:sz w:val="24"/>
          <w:szCs w:val="24"/>
        </w:rPr>
        <w:t xml:space="preserve">VII.3 — Ouvertures, dans le prolongement des limites : le jumeau documentaire comme objet de politique publique</w:t>
      </w:r>
    </w:p>
    <w:p>
      <w:pPr>
        <w:spacing w:after="120" w:line="360"/>
        <w:ind w:firstLine="480"/>
        <w:jc w:val="both"/>
      </w:pPr>
      <w:r>
        <w:rPr>
          <w:rFonts w:ascii="Times New Roman" w:cs="Times New Roman" w:eastAsia="Times New Roman" w:hAnsi="Times New Roman"/>
          <w:color w:val="000000"/>
          <w:sz w:val="24"/>
          <w:szCs w:val="24"/>
        </w:rPr>
        <w:t xml:space="preserve">Les limites du chapitre VI — géométrique, temporelle, instrumentale — dessinent les contours de ce qui reste à faire. Deux chantiers prolongent ce travail. Le premier est politique : si la lisibilité numérique structure la décision urbaine, alors le « jumeau documentaire » incomplet — cette carte vivante qui sous-décrit ses quartiers pauvres en finesse et sur-décrit ses réseaux planifiés — doit être gouverné comme un équipement public : avec des objectifs de couverture, des campagnes de complétion ciblées, et l'affichage de la couverture comme métadonnée de toute décision adossée aux données. L'Algérie dispose ici d'une opportunité rare : une communauté OSM active, des opérateurs documentés, et un État qui produit des référentiels — la lisibilité numérique est moins un problème de technologie que d'organisation. Le second chantier est épistémologique : l'urbaniste augmenté — celui qui lit la ville avec une chaîne d'IA sous garde-fous — devient un sujet de recherche à part entière ; vérifier ses sources, documenter ses instruments, archiver ses itérations sont les gestes professionnels d'une discipline qui vient de naître, et dont cette thèse a voulu être, à la fois, la démonstration et le premier exercice.</w:t>
      </w:r>
    </w:p>
    <w:p>
      <w:pPr>
        <w:spacing w:after="120" w:line="360"/>
        <w:ind w:firstLine="480"/>
        <w:jc w:val="both"/>
      </w:pPr>
      <w:r>
        <w:rPr>
          <w:rFonts w:ascii="Times New Roman" w:cs="Times New Roman" w:eastAsia="Times New Roman" w:hAnsi="Times New Roman"/>
          <w:color w:val="000000"/>
          <w:sz w:val="24"/>
          <w:szCs w:val="24"/>
        </w:rPr>
        <w:t xml:space="preserve">Il reste, pour finir, une image tirée du terrain. À Bab El Oued, la ville se lit d'abord dans la rue — l'école au coin, la clinique au rez-de-chaussée, la mosquée dans le pâté. À Bab Ezzouar, elle se lit d'abord dans le plan — la ligne du tramway, la trame des postes, l'emprise de l'université. La donnée ouverte, en les décrivant l'une et l'autre, n'a fait que redire cette différence — mais elle l'a rendue mesurable, discutable, gouvernable. Rendre lisible ce qui jusqu'ici se vivait sans se dire : c'est, au fond, la seule promesse de l'urbanisme numérique que cette thèse accepte de retenir.</w:t>
      </w:r>
    </w:p>
    <w:p>
      <w:pPr>
        <w:spacing w:after="360" w:before="480" w:line="360"/>
        <w:jc w:val="center"/>
      </w:pPr>
      <w:r>
        <w:rPr>
          <w:rFonts w:ascii="Times New Roman" w:cs="Times New Roman" w:eastAsia="Times New Roman" w:hAnsi="Times New Roman"/>
          <w:b/>
          <w:bCs/>
          <w:color w:val="000000"/>
          <w:sz w:val="32"/>
          <w:szCs w:val="32"/>
        </w:rPr>
        <w:t xml:space="preserve">Références</w:t>
      </w:r>
    </w:p>
    <w:p>
      <w:pPr>
        <w:spacing w:after="200" w:line="360"/>
        <w:ind w:left="480" w:hanging="480"/>
        <w:jc w:val="left"/>
      </w:pPr>
      <w:r>
        <w:rPr>
          <w:rFonts w:ascii="Times New Roman" w:cs="Times New Roman" w:eastAsia="Times New Roman" w:hAnsi="Times New Roman"/>
          <w:color w:val="000000"/>
          <w:sz w:val="24"/>
          <w:szCs w:val="24"/>
        </w:rPr>
        <w:t xml:space="preserve">Batty, Michael (2018). Inventing Future Cities. MIT Press.</w:t>
      </w:r>
    </w:p>
    <w:p>
      <w:pPr>
        <w:spacing w:after="200" w:line="360"/>
        <w:ind w:left="480" w:hanging="480"/>
        <w:jc w:val="left"/>
      </w:pPr>
      <w:r>
        <w:rPr>
          <w:rFonts w:ascii="Times New Roman" w:cs="Times New Roman" w:eastAsia="Times New Roman" w:hAnsi="Times New Roman"/>
          <w:color w:val="000000"/>
          <w:sz w:val="24"/>
          <w:szCs w:val="24"/>
        </w:rPr>
        <w:t xml:space="preserve">Benyoucef, Brahim (2015). Alger, une ville en morphogenèse. OPU, Alger.</w:t>
      </w:r>
    </w:p>
    <w:p>
      <w:pPr>
        <w:spacing w:after="200" w:line="360"/>
        <w:ind w:left="480" w:hanging="480"/>
        <w:jc w:val="left"/>
      </w:pPr>
      <w:r>
        <w:rPr>
          <w:rFonts w:ascii="Times New Roman" w:cs="Times New Roman" w:eastAsia="Times New Roman" w:hAnsi="Times New Roman"/>
          <w:color w:val="000000"/>
          <w:sz w:val="24"/>
          <w:szCs w:val="24"/>
        </w:rPr>
        <w:t xml:space="preserve">Goodchild, Michael F. (2007). Citizens as sensors: the world of volunteered geography. GeoJournal, 69(4), 211-221. https://doi.org/10.1007/s10708-007-9111-y</w:t>
      </w:r>
    </w:p>
    <w:p>
      <w:pPr>
        <w:spacing w:after="200" w:line="360"/>
        <w:ind w:left="480" w:hanging="480"/>
        <w:jc w:val="left"/>
      </w:pPr>
      <w:r>
        <w:rPr>
          <w:rFonts w:ascii="Times New Roman" w:cs="Times New Roman" w:eastAsia="Times New Roman" w:hAnsi="Times New Roman"/>
          <w:color w:val="000000"/>
          <w:sz w:val="24"/>
          <w:szCs w:val="24"/>
        </w:rPr>
        <w:t xml:space="preserve">Haklay, Mordechai (2010). How good is volunteered geographical information? A comparative study of OpenStreetMap and Ordnance Survey datasets. Environment and Planning B, 37(4), 682-703. https://doi.org/10.1068/b35097</w:t>
      </w:r>
    </w:p>
    <w:p>
      <w:pPr>
        <w:spacing w:after="200" w:line="360"/>
        <w:ind w:left="480" w:hanging="480"/>
        <w:jc w:val="left"/>
      </w:pPr>
      <w:r>
        <w:rPr>
          <w:rFonts w:ascii="Times New Roman" w:cs="Times New Roman" w:eastAsia="Times New Roman" w:hAnsi="Times New Roman"/>
          <w:color w:val="000000"/>
          <w:sz w:val="24"/>
          <w:szCs w:val="24"/>
        </w:rPr>
        <w:t xml:space="preserve">Manon Laugaa (2024). En orbite de la ville numérique. Sociologie politique des cabinets de conseil satellites dans l'action publique urbaine. https://hal.science/4651325</w:t>
      </w:r>
    </w:p>
    <w:p>
      <w:pPr>
        <w:spacing w:after="200" w:line="360"/>
        <w:ind w:left="480" w:hanging="480"/>
        <w:jc w:val="left"/>
      </w:pPr>
      <w:r>
        <w:rPr>
          <w:rFonts w:ascii="Times New Roman" w:cs="Times New Roman" w:eastAsia="Times New Roman" w:hAnsi="Times New Roman"/>
          <w:color w:val="000000"/>
          <w:sz w:val="24"/>
          <w:szCs w:val="24"/>
        </w:rPr>
        <w:t xml:space="preserve">Nils Le Bot (2019). Quel avenir pour les gares métropolitaines françaises et allemandes ? analyse prospective de la dialectique « système gare » : ville, face au devenir des politiques publiques françaises &amp; allemandes en matière de transport. https://hal.science/2417572</w:t>
      </w:r>
    </w:p>
    <w:p>
      <w:pPr>
        <w:spacing w:after="200" w:line="360"/>
        <w:ind w:left="480" w:hanging="480"/>
        <w:jc w:val="left"/>
      </w:pPr>
      <w:r>
        <w:rPr>
          <w:rFonts w:ascii="Times New Roman" w:cs="Times New Roman" w:eastAsia="Times New Roman" w:hAnsi="Times New Roman"/>
          <w:color w:val="000000"/>
          <w:sz w:val="24"/>
          <w:szCs w:val="24"/>
        </w:rPr>
        <w:t xml:space="preserve">Panerai, Philippe (2019). Analyse urbaine. Parenthèses, Marseille.</w:t>
      </w:r>
    </w:p>
    <w:p>
      <w:pPr>
        <w:spacing w:after="200" w:line="360"/>
        <w:ind w:left="480" w:hanging="480"/>
        <w:jc w:val="left"/>
      </w:pPr>
      <w:r>
        <w:rPr>
          <w:rFonts w:ascii="Times New Roman" w:cs="Times New Roman" w:eastAsia="Times New Roman" w:hAnsi="Times New Roman"/>
          <w:color w:val="000000"/>
          <w:sz w:val="24"/>
          <w:szCs w:val="24"/>
        </w:rPr>
        <w:t xml:space="preserve">Pascal Frucquet (2024). Politiques de "Smart City" et (co-)création de valeur publique locale. https://hal.science/5678966</w:t>
      </w:r>
    </w:p>
    <w:p>
      <w:pPr>
        <w:spacing w:after="200" w:line="360"/>
        <w:ind w:left="480" w:hanging="480"/>
        <w:jc w:val="left"/>
      </w:pPr>
      <w:r>
        <w:rPr>
          <w:rFonts w:ascii="Times New Roman" w:cs="Times New Roman" w:eastAsia="Times New Roman" w:hAnsi="Times New Roman"/>
          <w:color w:val="000000"/>
          <w:sz w:val="24"/>
          <w:szCs w:val="24"/>
        </w:rPr>
        <w:t xml:space="preserve">Riccardo Petrolo (2016). Semantic-based discovery and integration of heterogeneous things in a Smart City environment. https://hal.science/1419630</w:t>
      </w:r>
    </w:p>
    <w:p>
      <w:pPr>
        <w:spacing w:after="200" w:line="360"/>
        <w:ind w:left="480" w:hanging="480"/>
        <w:jc w:val="left"/>
      </w:pPr>
      <w:r>
        <w:rPr>
          <w:rFonts w:ascii="Times New Roman" w:cs="Times New Roman" w:eastAsia="Times New Roman" w:hAnsi="Times New Roman"/>
          <w:color w:val="000000"/>
          <w:sz w:val="24"/>
          <w:szCs w:val="24"/>
        </w:rPr>
        <w:t xml:space="preserve">Townsend, Anthony M. (2013). Smart Cities: Big Data, Civic Hackers, and the Quest for a New Utopia. W. W. Norton.</w:t>
      </w:r>
    </w:p>
    <w:p>
      <w:pPr>
        <w:spacing w:after="200" w:line="360"/>
        <w:ind w:left="480" w:hanging="480"/>
        <w:jc w:val="left"/>
      </w:pPr>
      <w:r>
        <w:rPr>
          <w:rFonts w:ascii="Times New Roman" w:cs="Times New Roman" w:eastAsia="Times New Roman" w:hAnsi="Times New Roman"/>
          <w:color w:val="000000"/>
          <w:sz w:val="24"/>
          <w:szCs w:val="24"/>
        </w:rPr>
        <w:t xml:space="preserve">Victor Bayard (2022). Participation du réseau d’éclairage public aux processus de mutations urbaines : Étude des trajectoires historiques du réseau d’éclairage public sur le territoire parisien et réflexions sur son intégration contemporaine à la politique de construction de la « Ville Intelligente ». https://hal.science/3685651</w:t>
      </w:r>
    </w:p>
    <w:p>
      <w:pPr>
        <w:spacing w:after="200" w:line="360"/>
        <w:ind w:left="480" w:hanging="480"/>
        <w:jc w:val="left"/>
      </w:pPr>
      <w:r>
        <w:rPr>
          <w:rFonts w:ascii="Times New Roman" w:cs="Times New Roman" w:eastAsia="Times New Roman" w:hAnsi="Times New Roman"/>
          <w:color w:val="000000"/>
          <w:sz w:val="24"/>
          <w:szCs w:val="24"/>
        </w:rPr>
        <w:t xml:space="preserve">Yasser Wahyuddin (2019). L'utopie de la gouvernance en temps réel des villes : "Big data" et nouvelles politiques de l'énergie de la Métropole de Lyon. https://hal.science/2927777</w:t>
      </w:r>
    </w:p>
    <w:sectPr>
      <w:headerReference w:type="default" r:id="rId7"/>
      <w:footerReference w:type="default" r:id="rId8"/>
      <w:type w:val="continuous"/>
      <w:pgSz w:w="11906" w:h="16838" w:orient="portrait"/>
      <w:pgMar w:top="1440" w:right="1417" w:bottom="1440" w:left="1701" w:header="850" w:footer="992"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Thèse de production ThesisFrame v1.10.7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40" w:before="360" w:line="36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line="3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2026-09-15T17:01:05.899Z</dcterms:created>
  <dcterms:modified xsi:type="dcterms:W3CDTF">2026-09-15T17:01:05.899Z</dcterms:modified>
</cp:coreProperties>
</file>

<file path=docProps/custom.xml><?xml version="1.0" encoding="utf-8"?>
<Properties xmlns="http://schemas.openxmlformats.org/officeDocument/2006/custom-properties" xmlns:vt="http://schemas.openxmlformats.org/officeDocument/2006/docPropsVTypes"/>
</file>