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20"/>
        <w:jc w:val="center"/>
      </w:pPr>
      <w:r>
        <w:drawing>
          <wp:inline xmlns:a="http://schemas.openxmlformats.org/drawingml/2006/main" xmlns:pic="http://schemas.openxmlformats.org/drawingml/2006/picture">
            <wp:extent cx="6254496" cy="2068153"/>
            <wp:docPr id="1" name="Picture 1"/>
            <wp:cNvGraphicFramePr>
              <a:graphicFrameLocks noChangeAspect="1"/>
            </wp:cNvGraphicFramePr>
            <a:graphic>
              <a:graphicData uri="http://schemas.openxmlformats.org/drawingml/2006/picture">
                <pic:pic>
                  <pic:nvPicPr>
                    <pic:cNvPr id="0" name="banner.jpg"/>
                    <pic:cNvPicPr/>
                  </pic:nvPicPr>
                  <pic:blipFill>
                    <a:blip r:embed="rId11"/>
                    <a:stretch>
                      <a:fillRect/>
                    </a:stretch>
                  </pic:blipFill>
                  <pic:spPr>
                    <a:xfrm>
                      <a:off x="0" y="0"/>
                      <a:ext cx="6254496" cy="2068153"/>
                    </a:xfrm>
                    <a:prstGeom prst="rect"/>
                  </pic:spPr>
                </pic:pic>
              </a:graphicData>
            </a:graphic>
          </wp:inline>
        </w:drawing>
      </w:r>
    </w:p>
    <w:p>
      <w:pPr>
        <w:spacing w:before="40" w:after="60"/>
      </w:pPr>
      <w:r>
        <w:rPr>
          <w:rFonts w:ascii="Aptos" w:hAnsi="Aptos" w:eastAsia="Aptos"/>
          <w:b/>
          <w:i w:val="0"/>
          <w:color w:val="D98F6A"/>
          <w:sz w:val="16"/>
        </w:rPr>
        <w:t>RAPPORT DE PRÉSENTATION</w:t>
      </w:r>
    </w:p>
    <w:p>
      <w:pPr>
        <w:spacing w:after="80"/>
      </w:pPr>
      <w:r>
        <w:rPr>
          <w:rFonts w:ascii="Aptos Display" w:hAnsi="Aptos Display" w:eastAsia="Aptos Display"/>
          <w:b/>
          <w:i w:val="0"/>
          <w:color w:val="153E3D"/>
          <w:sz w:val="62"/>
        </w:rPr>
        <w:t>UrbaTrame</w:t>
      </w:r>
    </w:p>
    <w:p>
      <w:pPr>
        <w:spacing w:after="240"/>
      </w:pPr>
      <w:r>
        <w:rPr>
          <w:rFonts w:ascii="Aptos" w:hAnsi="Aptos" w:eastAsia="Aptos"/>
          <w:b/>
          <w:i w:val="0"/>
          <w:color w:val="D98F6A"/>
          <w:sz w:val="30"/>
        </w:rPr>
        <w:t>Analyse des sites urbains</w:t>
      </w:r>
    </w:p>
    <w:p>
      <w:pPr>
        <w:spacing w:after="180"/>
      </w:pPr>
      <w:r>
        <w:rPr>
          <w:rFonts w:ascii="Aptos" w:hAnsi="Aptos" w:eastAsia="Aptos"/>
          <w:b w:val="0"/>
          <w:i w:val="0"/>
          <w:color w:val="283431"/>
          <w:sz w:val="24"/>
        </w:rPr>
        <w:t>Comprendre le périmètre fonctionnel, les principaux usages et les livrables disponibles.</w:t>
      </w:r>
    </w:p>
    <w:tbl>
      <w:tblPr>
        <w:tblW w:type="auto" w:w="0"/>
        <w:jc w:val="center"/>
        <w:tblLayout w:type="fixed"/>
        <w:tblLook w:firstColumn="1" w:firstRow="1" w:lastColumn="0" w:lastRow="0" w:noHBand="0" w:noVBand="1" w:val="04A0"/>
      </w:tblPr>
      <w:tblGrid>
        <w:gridCol w:w="9893"/>
      </w:tblGrid>
      <w:tr>
        <w:tc>
          <w:tcPr>
            <w:tcW w:type="dxa" w:w="9850"/>
            <w:shd w:fill="F2F5F3" w:val="clear"/>
            <w:tcMar>
              <w:top w:w="120" w:type="dxa"/>
              <w:start w:w="170" w:type="dxa"/>
              <w:bottom w:w="120" w:type="dxa"/>
              <w:end w:w="170" w:type="dxa"/>
            </w:tcMar>
          </w:tcPr>
          <w:p>
            <w:pPr>
              <w:spacing w:after="60"/>
            </w:pPr>
            <w:r>
              <w:rPr>
                <w:rFonts w:ascii="Aptos" w:hAnsi="Aptos" w:eastAsia="Aptos"/>
                <w:b/>
                <w:i w:val="0"/>
                <w:color w:val="153E3D"/>
                <w:sz w:val="20"/>
              </w:rPr>
              <w:t>Cartographie · topographie · volumes 3D</w:t>
            </w:r>
          </w:p>
          <w:p>
            <w:pPr>
              <w:spacing w:after="0" w:line="259" w:lineRule="auto"/>
            </w:pPr>
            <w:r>
              <w:rPr>
                <w:rFonts w:ascii="Aptos" w:hAnsi="Aptos" w:eastAsia="Aptos"/>
                <w:b w:val="0"/>
                <w:i w:val="0"/>
                <w:color w:val="283431"/>
                <w:sz w:val="18"/>
              </w:rPr>
              <w:t>Une interface d’aide à la lecture des sites, qui réunit analyses urbaines, visualisation 3D, atelier topographique Altiplan et atlas administratif GADM.</w:t>
            </w:r>
          </w:p>
        </w:tc>
      </w:tr>
    </w:tbl>
    <w:p>
      <w:pPr>
        <w:spacing w:after="0"/>
      </w:pPr>
    </w:p>
    <w:p>
      <w:pPr>
        <w:spacing w:before="300" w:after="40"/>
      </w:pPr>
      <w:r>
        <w:rPr>
          <w:rFonts w:ascii="Aptos" w:hAnsi="Aptos" w:eastAsia="Aptos"/>
          <w:b/>
          <w:i w:val="0"/>
          <w:color w:val="66736F"/>
          <w:sz w:val="16"/>
        </w:rPr>
        <w:t>DOCUMENT D’INFORMATION   ·   VERSION 1.0   ·   14 OCTOBRE 2026</w:t>
      </w:r>
    </w:p>
    <w:p>
      <w:pPr>
        <w:spacing w:after="0"/>
      </w:pPr>
      <w:r>
        <w:rPr>
          <w:rFonts w:ascii="Aptos" w:hAnsi="Aptos" w:eastAsia="Aptos"/>
          <w:b w:val="0"/>
          <w:i w:val="0"/>
          <w:color w:val="66736F"/>
          <w:sz w:val="16"/>
        </w:rPr>
        <w:t>Designed by M.SADI</w:t>
      </w:r>
    </w:p>
    <w:p>
      <w:r>
        <w:br w:type="page"/>
      </w:r>
    </w:p>
    <w:p>
      <w:pPr>
        <w:spacing w:before="40" w:after="60"/>
      </w:pPr>
      <w:r>
        <w:rPr>
          <w:rFonts w:ascii="Aptos" w:hAnsi="Aptos" w:eastAsia="Aptos"/>
          <w:b/>
          <w:i w:val="0"/>
          <w:color w:val="D98F6A"/>
          <w:sz w:val="16"/>
        </w:rPr>
        <w:t>01 · POSITIONNEMENT</w:t>
      </w:r>
    </w:p>
    <w:p>
      <w:pPr>
        <w:pStyle w:val="Heading1"/>
      </w:pPr>
      <w:r>
        <w:t>Une lecture partagée du site</w:t>
      </w:r>
    </w:p>
    <w:p>
      <w:r>
        <w:rPr>
          <w:rFonts w:ascii="Aptos" w:hAnsi="Aptos" w:eastAsia="Aptos"/>
          <w:b w:val="0"/>
          <w:i w:val="0"/>
          <w:color w:val="283431"/>
          <w:sz w:val="20"/>
        </w:rPr>
        <w:t>UrbaTrame accompagne les premières étapes d’une étude urbaine : localiser un site, parcourir les données territoriales disponibles, produire des cartes de synthèse et explorer les volumes bâtis en 3D. L’application rassemble dans un même environnement des analyses urbaines, des exports techniques et l’Atelier topographique Altiplan.</w:t>
      </w:r>
    </w:p>
    <w:p>
      <w:r>
        <w:rPr>
          <w:rFonts w:ascii="Aptos" w:hAnsi="Aptos" w:eastAsia="Aptos"/>
          <w:b w:val="0"/>
          <w:i w:val="0"/>
          <w:color w:val="283431"/>
          <w:sz w:val="20"/>
        </w:rPr>
        <w:t>Elle s’adresse aux urbanistes, architectes, paysagistes, bureaux d’études, collectivités, enseignants et étudiants qui souhaitent disposer rapidement d’un diagnostic cartographique de contexte, puis préparer des supports de travail et de présentation.</w:t>
      </w:r>
    </w:p>
    <w:tbl>
      <w:tblPr>
        <w:tblW w:type="auto" w:w="0"/>
        <w:jc w:val="center"/>
        <w:tblLayout w:type="fixed"/>
        <w:tblLook w:firstColumn="1" w:firstRow="1" w:lastColumn="0" w:lastRow="0" w:noHBand="0" w:noVBand="1" w:val="04A0"/>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blGrid>
        <w:gridCol w:w="2473"/>
        <w:gridCol w:w="2473"/>
        <w:gridCol w:w="2473"/>
        <w:gridCol w:w="2473"/>
      </w:tblGrid>
      <w:tr>
        <w:tc>
          <w:tcPr>
            <w:tcW w:type="dxa" w:w="2455"/>
            <w:shd w:fill="F2F5F3" w:val="clear"/>
            <w:tcMar>
              <w:top w:w="100" w:type="dxa"/>
              <w:start w:w="90" w:type="dxa"/>
              <w:bottom w:w="75" w:type="dxa"/>
              <w:end w:w="90" w:type="dxa"/>
            </w:tcMar>
            <w:vAlign w:val="center"/>
          </w:tcPr>
          <w:p>
            <w:pPr>
              <w:spacing w:after="0"/>
              <w:jc w:val="center"/>
            </w:pPr>
            <w:r>
              <w:rPr>
                <w:rFonts w:ascii="Aptos" w:hAnsi="Aptos" w:eastAsia="Aptos"/>
                <w:b/>
                <w:i w:val="0"/>
                <w:color w:val="153E3D"/>
                <w:sz w:val="40"/>
              </w:rPr>
              <w:t>44</w:t>
            </w:r>
          </w:p>
        </w:tc>
        <w:tc>
          <w:tcPr>
            <w:tcW w:type="dxa" w:w="2455"/>
            <w:shd w:fill="FBF5F0" w:val="clear"/>
            <w:tcMar>
              <w:top w:w="100" w:type="dxa"/>
              <w:start w:w="90" w:type="dxa"/>
              <w:bottom w:w="75" w:type="dxa"/>
              <w:end w:w="90" w:type="dxa"/>
            </w:tcMar>
            <w:vAlign w:val="center"/>
          </w:tcPr>
          <w:p>
            <w:pPr>
              <w:spacing w:after="0"/>
              <w:jc w:val="center"/>
            </w:pPr>
            <w:r>
              <w:rPr>
                <w:rFonts w:ascii="Aptos" w:hAnsi="Aptos" w:eastAsia="Aptos"/>
                <w:b/>
                <w:i w:val="0"/>
                <w:color w:val="153E3D"/>
                <w:sz w:val="40"/>
              </w:rPr>
              <w:t>8</w:t>
            </w:r>
          </w:p>
        </w:tc>
        <w:tc>
          <w:tcPr>
            <w:tcW w:type="dxa" w:w="2455"/>
            <w:shd w:fill="F2F5F3" w:val="clear"/>
            <w:tcMar>
              <w:top w:w="100" w:type="dxa"/>
              <w:start w:w="90" w:type="dxa"/>
              <w:bottom w:w="75" w:type="dxa"/>
              <w:end w:w="90" w:type="dxa"/>
            </w:tcMar>
            <w:vAlign w:val="center"/>
          </w:tcPr>
          <w:p>
            <w:pPr>
              <w:spacing w:after="0"/>
              <w:jc w:val="center"/>
            </w:pPr>
            <w:r>
              <w:rPr>
                <w:rFonts w:ascii="Aptos" w:hAnsi="Aptos" w:eastAsia="Aptos"/>
                <w:b/>
                <w:i w:val="0"/>
                <w:color w:val="153E3D"/>
                <w:sz w:val="40"/>
              </w:rPr>
              <w:t>200–3 000 m</w:t>
            </w:r>
          </w:p>
        </w:tc>
        <w:tc>
          <w:tcPr>
            <w:tcW w:type="dxa" w:w="2455"/>
            <w:shd w:fill="FBF5F0" w:val="clear"/>
            <w:tcMar>
              <w:top w:w="100" w:type="dxa"/>
              <w:start w:w="90" w:type="dxa"/>
              <w:bottom w:w="75" w:type="dxa"/>
              <w:end w:w="90" w:type="dxa"/>
            </w:tcMar>
            <w:vAlign w:val="center"/>
          </w:tcPr>
          <w:p>
            <w:pPr>
              <w:spacing w:after="0"/>
              <w:jc w:val="center"/>
            </w:pPr>
            <w:r>
              <w:rPr>
                <w:rFonts w:ascii="Aptos" w:hAnsi="Aptos" w:eastAsia="Aptos"/>
                <w:b/>
                <w:i w:val="0"/>
                <w:color w:val="153E3D"/>
                <w:sz w:val="40"/>
              </w:rPr>
              <w:t>4 familles</w:t>
            </w:r>
          </w:p>
        </w:tc>
      </w:tr>
      <w:tr>
        <w:tc>
          <w:tcPr>
            <w:tcW w:type="dxa" w:w="2455"/>
            <w:shd w:fill="F2F5F3" w:val="clear"/>
            <w:tcMar>
              <w:top w:w="100" w:type="dxa"/>
              <w:start w:w="90" w:type="dxa"/>
              <w:bottom w:w="75" w:type="dxa"/>
              <w:end w:w="90" w:type="dxa"/>
            </w:tcMar>
            <w:vAlign w:val="center"/>
          </w:tcPr>
          <w:p>
            <w:pPr>
              <w:spacing w:after="20"/>
              <w:jc w:val="center"/>
            </w:pPr>
            <w:r>
              <w:rPr>
                <w:rFonts w:ascii="Aptos" w:hAnsi="Aptos" w:eastAsia="Aptos"/>
                <w:b/>
                <w:i w:val="0"/>
                <w:color w:val="66736F"/>
                <w:sz w:val="16"/>
              </w:rPr>
              <w:t>analyses opérationnelles</w:t>
            </w:r>
          </w:p>
        </w:tc>
        <w:tc>
          <w:tcPr>
            <w:tcW w:type="dxa" w:w="2455"/>
            <w:shd w:fill="FBF5F0" w:val="clear"/>
            <w:tcMar>
              <w:top w:w="100" w:type="dxa"/>
              <w:start w:w="90" w:type="dxa"/>
              <w:bottom w:w="75" w:type="dxa"/>
              <w:end w:w="90" w:type="dxa"/>
            </w:tcMar>
            <w:vAlign w:val="center"/>
          </w:tcPr>
          <w:p>
            <w:pPr>
              <w:spacing w:after="20"/>
              <w:jc w:val="center"/>
            </w:pPr>
            <w:r>
              <w:rPr>
                <w:rFonts w:ascii="Aptos" w:hAnsi="Aptos" w:eastAsia="Aptos"/>
                <w:b/>
                <w:i w:val="0"/>
                <w:color w:val="66736F"/>
                <w:sz w:val="16"/>
              </w:rPr>
              <w:t>planches composées A3</w:t>
            </w:r>
          </w:p>
        </w:tc>
        <w:tc>
          <w:tcPr>
            <w:tcW w:type="dxa" w:w="2455"/>
            <w:shd w:fill="F2F5F3" w:val="clear"/>
            <w:tcMar>
              <w:top w:w="100" w:type="dxa"/>
              <w:start w:w="90" w:type="dxa"/>
              <w:bottom w:w="75" w:type="dxa"/>
              <w:end w:w="90" w:type="dxa"/>
            </w:tcMar>
            <w:vAlign w:val="center"/>
          </w:tcPr>
          <w:p>
            <w:pPr>
              <w:spacing w:after="20"/>
              <w:jc w:val="center"/>
            </w:pPr>
            <w:r>
              <w:rPr>
                <w:rFonts w:ascii="Aptos" w:hAnsi="Aptos" w:eastAsia="Aptos"/>
                <w:b/>
                <w:i w:val="0"/>
                <w:color w:val="66736F"/>
                <w:sz w:val="16"/>
              </w:rPr>
              <w:t>rayon de l’espace d’analyse</w:t>
            </w:r>
          </w:p>
        </w:tc>
        <w:tc>
          <w:tcPr>
            <w:tcW w:type="dxa" w:w="2455"/>
            <w:shd w:fill="FBF5F0" w:val="clear"/>
            <w:tcMar>
              <w:top w:w="100" w:type="dxa"/>
              <w:start w:w="90" w:type="dxa"/>
              <w:bottom w:w="75" w:type="dxa"/>
              <w:end w:w="90" w:type="dxa"/>
            </w:tcMar>
            <w:vAlign w:val="center"/>
          </w:tcPr>
          <w:p>
            <w:pPr>
              <w:spacing w:after="20"/>
              <w:jc w:val="center"/>
            </w:pPr>
            <w:r>
              <w:rPr>
                <w:rFonts w:ascii="Aptos" w:hAnsi="Aptos" w:eastAsia="Aptos"/>
                <w:b/>
                <w:i w:val="0"/>
                <w:color w:val="66736F"/>
                <w:sz w:val="16"/>
              </w:rPr>
              <w:t>de données principales</w:t>
            </w:r>
          </w:p>
        </w:tc>
      </w:tr>
    </w:tbl>
    <w:p>
      <w:pPr>
        <w:spacing w:after="0"/>
      </w:pPr>
    </w:p>
    <w:p>
      <w:pPr>
        <w:pStyle w:val="Heading2"/>
      </w:pPr>
      <w:r>
        <w:t>Un parcours simple, du lieu au livrable</w:t>
      </w:r>
    </w:p>
    <w:tbl>
      <w:tblPr>
        <w:tblW w:type="auto" w:w="0"/>
        <w:jc w:val="center"/>
        <w:tblLayout w:type="fixed"/>
        <w:tblLook w:firstColumn="1" w:firstRow="1" w:lastColumn="0" w:lastRow="0" w:noHBand="0" w:noVBand="1" w:val="04A0"/>
        <w:tblBorders>
          <w:top w:val="single" w:sz="5" w:space="0" w:color="D8E1DD"/>
          <w:left w:val="single" w:sz="5" w:space="0" w:color="D8E1DD"/>
          <w:bottom w:val="single" w:sz="5" w:space="0" w:color="D8E1DD"/>
          <w:right w:val="single" w:sz="5" w:space="0" w:color="D8E1DD"/>
          <w:insideH w:val="single" w:sz="5" w:space="0" w:color="D8E1DD"/>
          <w:insideV w:val="single" w:sz="5" w:space="0" w:color="D8E1DD"/>
        </w:tblBorders>
      </w:tblPr>
      <w:tblGrid>
        <w:gridCol w:w="1469"/>
        <w:gridCol w:w="4392"/>
        <w:gridCol w:w="4003"/>
      </w:tblGrid>
      <w:tr>
        <w:trPr>
          <w:tblHeader w:val="true"/>
        </w:trPr>
        <w:tc>
          <w:tcPr>
            <w:tcW w:type="dxa" w:w="3298"/>
            <w:shd w:fill="153E3D" w:val="clear"/>
            <w:tcMar>
              <w:top w:w="85" w:type="dxa"/>
              <w:start w:w="100" w:type="dxa"/>
              <w:bottom w:w="85" w:type="dxa"/>
              <w:end w:w="100" w:type="dxa"/>
            </w:tcMar>
          </w:tcPr>
          <w:p>
            <w:pPr>
              <w:spacing w:after="0"/>
            </w:pPr>
            <w:r>
              <w:rPr>
                <w:rFonts w:ascii="Aptos" w:hAnsi="Aptos" w:eastAsia="Aptos"/>
                <w:b/>
                <w:i w:val="0"/>
                <w:color w:val="FFFFFF"/>
                <w:sz w:val="17"/>
              </w:rPr>
              <w:t>Étape</w:t>
            </w:r>
          </w:p>
        </w:tc>
        <w:tc>
          <w:tcPr>
            <w:tcW w:type="dxa" w:w="3298"/>
            <w:shd w:fill="153E3D" w:val="clear"/>
            <w:tcMar>
              <w:top w:w="85" w:type="dxa"/>
              <w:start w:w="100" w:type="dxa"/>
              <w:bottom w:w="85" w:type="dxa"/>
              <w:end w:w="100" w:type="dxa"/>
            </w:tcMar>
          </w:tcPr>
          <w:p>
            <w:pPr>
              <w:spacing w:after="0"/>
            </w:pPr>
            <w:r>
              <w:rPr>
                <w:rFonts w:ascii="Aptos" w:hAnsi="Aptos" w:eastAsia="Aptos"/>
                <w:b/>
                <w:i w:val="0"/>
                <w:color w:val="FFFFFF"/>
                <w:sz w:val="17"/>
              </w:rPr>
              <w:t>Action</w:t>
            </w:r>
          </w:p>
        </w:tc>
        <w:tc>
          <w:tcPr>
            <w:tcW w:type="dxa" w:w="3298"/>
            <w:shd w:fill="153E3D" w:val="clear"/>
            <w:tcMar>
              <w:top w:w="85" w:type="dxa"/>
              <w:start w:w="100" w:type="dxa"/>
              <w:bottom w:w="85" w:type="dxa"/>
              <w:end w:w="100" w:type="dxa"/>
            </w:tcMar>
          </w:tcPr>
          <w:p>
            <w:pPr>
              <w:spacing w:after="0"/>
            </w:pPr>
            <w:r>
              <w:rPr>
                <w:rFonts w:ascii="Aptos" w:hAnsi="Aptos" w:eastAsia="Aptos"/>
                <w:b/>
                <w:i w:val="0"/>
                <w:color w:val="FFFFFF"/>
                <w:sz w:val="17"/>
              </w:rPr>
              <w:t>Résultat</w:t>
            </w:r>
          </w:p>
        </w:tc>
      </w:tr>
      <w:tr>
        <w:tc>
          <w:tcPr>
            <w:tcW w:type="dxa" w:w="1469"/>
            <w:shd w:fill="F2F5F3" w:val="clear"/>
            <w:tcMar>
              <w:top w:w="70" w:type="dxa"/>
              <w:start w:w="100" w:type="dxa"/>
              <w:bottom w:w="70" w:type="dxa"/>
              <w:end w:w="100" w:type="dxa"/>
            </w:tcMar>
            <w:vAlign w:val="center"/>
          </w:tcPr>
          <w:p>
            <w:pPr>
              <w:spacing w:after="0" w:line="240" w:lineRule="auto"/>
            </w:pPr>
            <w:r>
              <w:rPr>
                <w:rFonts w:ascii="Aptos" w:hAnsi="Aptos" w:eastAsia="Aptos"/>
                <w:b/>
                <w:i w:val="0"/>
                <w:color w:val="283431"/>
                <w:sz w:val="17"/>
              </w:rPr>
              <w:t>1 · Situer</w:t>
            </w:r>
          </w:p>
        </w:tc>
        <w:tc>
          <w:tcPr>
            <w:tcW w:type="dxa" w:w="4392"/>
            <w:shd w:fill="F2F5F3"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7"/>
              </w:rPr>
              <w:t>Rechercher une adresse ou saisir des coordonnées.</w:t>
            </w:r>
          </w:p>
        </w:tc>
        <w:tc>
          <w:tcPr>
            <w:tcW w:type="dxa" w:w="4003"/>
            <w:shd w:fill="F2F5F3"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7"/>
              </w:rPr>
              <w:t>Un centre et une emprise de travail.</w:t>
            </w:r>
          </w:p>
        </w:tc>
      </w:tr>
      <w:tr>
        <w:tc>
          <w:tcPr>
            <w:tcW w:type="dxa" w:w="1469"/>
            <w:shd w:fill="FFFFFF" w:val="clear"/>
            <w:tcMar>
              <w:top w:w="70" w:type="dxa"/>
              <w:start w:w="100" w:type="dxa"/>
              <w:bottom w:w="70" w:type="dxa"/>
              <w:end w:w="100" w:type="dxa"/>
            </w:tcMar>
            <w:vAlign w:val="center"/>
          </w:tcPr>
          <w:p>
            <w:pPr>
              <w:spacing w:after="0" w:line="240" w:lineRule="auto"/>
            </w:pPr>
            <w:r>
              <w:rPr>
                <w:rFonts w:ascii="Aptos" w:hAnsi="Aptos" w:eastAsia="Aptos"/>
                <w:b/>
                <w:i w:val="0"/>
                <w:color w:val="283431"/>
                <w:sz w:val="17"/>
              </w:rPr>
              <w:t>2 · Explorer</w:t>
            </w:r>
          </w:p>
        </w:tc>
        <w:tc>
          <w:tcPr>
            <w:tcW w:type="dxa" w:w="4392"/>
            <w:shd w:fill="FFFFFF"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7"/>
              </w:rPr>
              <w:t>Choisir les analyses, les couches et les paramètres du site.</w:t>
            </w:r>
          </w:p>
        </w:tc>
        <w:tc>
          <w:tcPr>
            <w:tcW w:type="dxa" w:w="4003"/>
            <w:shd w:fill="FFFFFF"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7"/>
              </w:rPr>
              <w:t>Des cartes 2D et une lecture du relief et du tissu.</w:t>
            </w:r>
          </w:p>
        </w:tc>
      </w:tr>
      <w:tr>
        <w:tc>
          <w:tcPr>
            <w:tcW w:type="dxa" w:w="1469"/>
            <w:shd w:fill="F2F5F3" w:val="clear"/>
            <w:tcMar>
              <w:top w:w="70" w:type="dxa"/>
              <w:start w:w="100" w:type="dxa"/>
              <w:bottom w:w="70" w:type="dxa"/>
              <w:end w:w="100" w:type="dxa"/>
            </w:tcMar>
            <w:vAlign w:val="center"/>
          </w:tcPr>
          <w:p>
            <w:pPr>
              <w:spacing w:after="0" w:line="240" w:lineRule="auto"/>
            </w:pPr>
            <w:r>
              <w:rPr>
                <w:rFonts w:ascii="Aptos" w:hAnsi="Aptos" w:eastAsia="Aptos"/>
                <w:b/>
                <w:i w:val="0"/>
                <w:color w:val="283431"/>
                <w:sz w:val="17"/>
              </w:rPr>
              <w:t>3 · Restituer</w:t>
            </w:r>
          </w:p>
        </w:tc>
        <w:tc>
          <w:tcPr>
            <w:tcW w:type="dxa" w:w="4392"/>
            <w:shd w:fill="F2F5F3"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7"/>
              </w:rPr>
              <w:t>Ajuster la présentation puis exporter.</w:t>
            </w:r>
          </w:p>
        </w:tc>
        <w:tc>
          <w:tcPr>
            <w:tcW w:type="dxa" w:w="4003"/>
            <w:shd w:fill="F2F5F3"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7"/>
              </w:rPr>
              <w:t>Des cartes vectorielles, images et fichiers techniques.</w:t>
            </w:r>
          </w:p>
        </w:tc>
      </w:tr>
    </w:tbl>
    <w:p>
      <w:pPr>
        <w:spacing w:after="0"/>
      </w:pPr>
    </w:p>
    <w:tbl>
      <w:tblPr>
        <w:tblW w:type="auto" w:w="0"/>
        <w:jc w:val="center"/>
        <w:tblLayout w:type="fixed"/>
        <w:tblLook w:firstColumn="1" w:firstRow="1" w:lastColumn="0" w:lastRow="0" w:noHBand="0" w:noVBand="1" w:val="04A0"/>
      </w:tblPr>
      <w:tblGrid>
        <w:gridCol w:w="9893"/>
      </w:tblGrid>
      <w:tr>
        <w:tc>
          <w:tcPr>
            <w:tcW w:type="dxa" w:w="9850"/>
            <w:shd w:fill="FBF5F0" w:val="clear"/>
            <w:tcMar>
              <w:top w:w="120" w:type="dxa"/>
              <w:start w:w="170" w:type="dxa"/>
              <w:bottom w:w="120" w:type="dxa"/>
              <w:end w:w="170" w:type="dxa"/>
            </w:tcMar>
          </w:tcPr>
          <w:p>
            <w:pPr>
              <w:spacing w:after="60"/>
            </w:pPr>
            <w:r>
              <w:rPr>
                <w:rFonts w:ascii="Aptos" w:hAnsi="Aptos" w:eastAsia="Aptos"/>
                <w:b/>
                <w:i w:val="0"/>
                <w:color w:val="D98F6A"/>
                <w:sz w:val="20"/>
              </w:rPr>
              <w:t>Accès dans la configuration actuelle</w:t>
            </w:r>
          </w:p>
          <w:p>
            <w:pPr>
              <w:spacing w:after="0" w:line="259" w:lineRule="auto"/>
            </w:pPr>
            <w:r>
              <w:rPr>
                <w:rFonts w:ascii="Aptos" w:hAnsi="Aptos" w:eastAsia="Aptos"/>
                <w:b w:val="0"/>
                <w:i w:val="0"/>
                <w:color w:val="283431"/>
                <w:sz w:val="18"/>
              </w:rPr>
              <w:t>Les 44 analyses opérationnelles sont accessibles sans compte ni quota dans la configuration actuelle. Les sources externes restent soumises à leur disponibilité et à leur couverture.</w:t>
            </w:r>
          </w:p>
        </w:tc>
      </w:tr>
    </w:tbl>
    <w:p>
      <w:pPr>
        <w:spacing w:after="0"/>
      </w:pPr>
    </w:p>
    <w:p>
      <w:r>
        <w:br w:type="page"/>
      </w:r>
    </w:p>
    <w:p>
      <w:pPr>
        <w:spacing w:before="40" w:after="60"/>
      </w:pPr>
      <w:r>
        <w:rPr>
          <w:rFonts w:ascii="Aptos" w:hAnsi="Aptos" w:eastAsia="Aptos"/>
          <w:b/>
          <w:i w:val="0"/>
          <w:color w:val="D98F6A"/>
          <w:sz w:val="16"/>
        </w:rPr>
        <w:t>02 · ANALYSES URBAINES</w:t>
      </w:r>
    </w:p>
    <w:p>
      <w:pPr>
        <w:pStyle w:val="Heading1"/>
      </w:pPr>
      <w:r>
        <w:t>Du contexte à la morphologie</w:t>
      </w:r>
    </w:p>
    <w:p>
      <w:r>
        <w:rPr>
          <w:rFonts w:ascii="Aptos" w:hAnsi="Aptos" w:eastAsia="Aptos"/>
          <w:b w:val="0"/>
          <w:i w:val="0"/>
          <w:color w:val="283431"/>
          <w:sz w:val="20"/>
        </w:rPr>
        <w:t>Le catalogue regroupe des analyses de voirie, d’occupation du sol, de végétation et d’eau, de tissu et de densité bâtis, de services et de mobilité, ainsi que des thèmes d’environnement, de climat et de relief. Les résultats sont présentés sous forme de cartes synthétiques consultables individuellement ou rassemblées en planche.</w:t>
      </w:r>
    </w:p>
    <w:p>
      <w:pPr>
        <w:pStyle w:val="ListBullet"/>
      </w:pPr>
      <w:r>
        <w:rPr>
          <w:rFonts w:ascii="Aptos" w:hAnsi="Aptos" w:eastAsia="Aptos"/>
          <w:b w:val="0"/>
          <w:i w:val="0"/>
          <w:color w:val="283431"/>
          <w:sz w:val="20"/>
        </w:rPr>
        <w:t>Morphologie : densité, typologies, orientations, volumétrie et représentation axonométrique des bâtiments cartographiés.</w:t>
      </w:r>
    </w:p>
    <w:p>
      <w:pPr>
        <w:pStyle w:val="ListBullet"/>
      </w:pPr>
      <w:r>
        <w:rPr>
          <w:rFonts w:ascii="Aptos" w:hAnsi="Aptos" w:eastAsia="Aptos"/>
          <w:b w:val="0"/>
          <w:i w:val="0"/>
          <w:color w:val="283431"/>
          <w:sz w:val="20"/>
        </w:rPr>
        <w:t>Usages et services : points d’intérêt, polarités, accessibilité, connexité du réseau et lecture des rues.</w:t>
      </w:r>
    </w:p>
    <w:p>
      <w:pPr>
        <w:pStyle w:val="ListBullet"/>
      </w:pPr>
      <w:r>
        <w:rPr>
          <w:rFonts w:ascii="Aptos" w:hAnsi="Aptos" w:eastAsia="Aptos"/>
          <w:b w:val="0"/>
          <w:i w:val="0"/>
          <w:color w:val="283431"/>
          <w:sz w:val="20"/>
        </w:rPr>
        <w:t>Environnement : soleil et ombres, topographie, pente, exposition, températures, précipitations et rayonnement.</w:t>
      </w:r>
    </w:p>
    <w:p>
      <w:pPr>
        <w:pStyle w:val="ListBullet"/>
      </w:pPr>
      <w:r>
        <w:rPr>
          <w:rFonts w:ascii="Aptos" w:hAnsi="Aptos" w:eastAsia="Aptos"/>
          <w:b w:val="0"/>
          <w:i w:val="0"/>
          <w:color w:val="283431"/>
          <w:sz w:val="20"/>
        </w:rPr>
        <w:t>Planches A3 : contexte, densité, nœuds urbains, insertion, axonométrie annotée et accès radial.</w:t>
      </w:r>
    </w:p>
    <w:p>
      <w:r>
        <w:drawing>
          <wp:inline xmlns:a="http://schemas.openxmlformats.org/drawingml/2006/main" xmlns:pic="http://schemas.openxmlformats.org/drawingml/2006/picture">
            <wp:extent cx="6144768" cy="5128518"/>
            <wp:docPr id="2" name="Picture 2"/>
            <wp:cNvGraphicFramePr>
              <a:graphicFrameLocks noChangeAspect="1"/>
            </wp:cNvGraphicFramePr>
            <a:graphic>
              <a:graphicData uri="http://schemas.openxmlformats.org/drawingml/2006/picture">
                <pic:pic>
                  <pic:nvPicPr>
                    <pic:cNvPr id="0" name="boards.jpg"/>
                    <pic:cNvPicPr/>
                  </pic:nvPicPr>
                  <pic:blipFill>
                    <a:blip r:embed="rId12"/>
                    <a:stretch>
                      <a:fillRect/>
                    </a:stretch>
                  </pic:blipFill>
                  <pic:spPr>
                    <a:xfrm>
                      <a:off x="0" y="0"/>
                      <a:ext cx="6144768" cy="5128518"/>
                    </a:xfrm>
                    <a:prstGeom prst="rect"/>
                  </pic:spPr>
                </pic:pic>
              </a:graphicData>
            </a:graphic>
          </wp:inline>
        </w:drawing>
      </w:r>
    </w:p>
    <w:p>
      <w:pPr>
        <w:spacing w:before="40" w:after="100"/>
        <w:jc w:val="center"/>
      </w:pPr>
      <w:r>
        <w:rPr>
          <w:rFonts w:ascii="Aptos" w:hAnsi="Aptos" w:eastAsia="Aptos"/>
          <w:b w:val="0"/>
          <w:i/>
          <w:color w:val="66736F"/>
          <w:sz w:val="16"/>
        </w:rPr>
        <w:t>Exemple de planches analytiques générées pour le secteur d’El Khroub. Les cartes restent indicatives et dépendent des données disponibles.</w:t>
      </w:r>
    </w:p>
    <w:p>
      <w:r>
        <w:br w:type="page"/>
      </w:r>
    </w:p>
    <w:p>
      <w:pPr>
        <w:spacing w:before="40" w:after="60"/>
      </w:pPr>
      <w:r>
        <w:rPr>
          <w:rFonts w:ascii="Aptos" w:hAnsi="Aptos" w:eastAsia="Aptos"/>
          <w:b/>
          <w:i w:val="0"/>
          <w:color w:val="D98F6A"/>
          <w:sz w:val="16"/>
        </w:rPr>
        <w:t>03 · VISUALISATION ET ATELIER</w:t>
      </w:r>
    </w:p>
    <w:p>
      <w:pPr>
        <w:pStyle w:val="Heading1"/>
      </w:pPr>
      <w:r>
        <w:t>Deux outils complémentaires intégrés</w:t>
      </w:r>
    </w:p>
    <w:p>
      <w:pPr>
        <w:pStyle w:val="Heading2"/>
      </w:pPr>
      <w:r>
        <w:t>Explorer les volumes en 3D</w:t>
      </w:r>
    </w:p>
    <w:p>
      <w:r>
        <w:rPr>
          <w:rFonts w:ascii="Aptos" w:hAnsi="Aptos" w:eastAsia="Aptos"/>
          <w:b w:val="0"/>
          <w:i w:val="0"/>
          <w:color w:val="283431"/>
          <w:sz w:val="20"/>
        </w:rPr>
        <w:t>La vue interactive associe les empreintes de bâtiments aux altitudes disponibles. L’utilisateur peut faire pivoter la scène, régler l’heure solaire, observer les ombres, interroger un bâtiment et exporter un aperçu. Le relief et les hauteurs manquantes sont signalés afin de garder une lecture prudente.</w:t>
      </w:r>
    </w:p>
    <w:p>
      <w:pPr>
        <w:pStyle w:val="Heading2"/>
      </w:pPr>
      <w:r>
        <w:t>Altiplan, l’atelier topographique d’UrbaTrame</w:t>
      </w:r>
    </w:p>
    <w:p>
      <w:r>
        <w:rPr>
          <w:rFonts w:ascii="Aptos" w:hAnsi="Aptos" w:eastAsia="Aptos"/>
          <w:b w:val="0"/>
          <w:i w:val="0"/>
          <w:color w:val="283431"/>
          <w:sz w:val="20"/>
        </w:rPr>
        <w:t>Altiplan est une section intégrée à UrbaTrame, accessible depuis « Atelier topo ». Elle permet de choisir une emprise, de sélectionner les couches OpenStreetMap utiles, d’examiner une carte interactive et de préparer un plan, une coupe et une maquette 3D.</w:t>
      </w:r>
    </w:p>
    <w:p>
      <w:r>
        <w:rPr>
          <w:rFonts w:ascii="Aptos" w:hAnsi="Aptos" w:eastAsia="Aptos"/>
          <w:b w:val="0"/>
          <w:i w:val="0"/>
          <w:color w:val="283431"/>
          <w:sz w:val="20"/>
        </w:rPr>
        <w:t>L’atlas administratif GADM est intégré à cet atelier : navigation par pays et niveau, consultation des métadonnées, aperçus thématiques nationaux et accès aux téléchargements officiels par pays ou pour le monde.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46"/>
        <w:gridCol w:w="4946"/>
      </w:tblGrid>
      <w:tr>
        <w:tc>
          <w:tcPr>
            <w:tcW w:type="dxa" w:w="4853"/>
            <w:vAlign w:val="top"/>
            <w:tcMar>
              <w:top w:w="40" w:type="dxa"/>
              <w:start w:w="50" w:type="dxa"/>
              <w:bottom w:w="40" w:type="dxa"/>
              <w:end w:w="50" w:type="dxa"/>
            </w:tcMar>
          </w:tcPr>
          <w:p>
            <w:pPr>
              <w:spacing w:after="40"/>
              <w:jc w:val="center"/>
            </w:pPr>
            <w:r>
              <w:drawing>
                <wp:inline xmlns:a="http://schemas.openxmlformats.org/drawingml/2006/main" xmlns:pic="http://schemas.openxmlformats.org/drawingml/2006/picture">
                  <wp:extent cx="2852928" cy="2139696"/>
                  <wp:docPr id="3" name="Picture 3"/>
                  <wp:cNvGraphicFramePr>
                    <a:graphicFrameLocks noChangeAspect="1"/>
                  </wp:cNvGraphicFramePr>
                  <a:graphic>
                    <a:graphicData uri="http://schemas.openxmlformats.org/drawingml/2006/picture">
                      <pic:pic>
                        <pic:nvPicPr>
                          <pic:cNvPr id="0" name="plan.jpg"/>
                          <pic:cNvPicPr/>
                        </pic:nvPicPr>
                        <pic:blipFill>
                          <a:blip r:embed="rId13"/>
                          <a:stretch>
                            <a:fillRect/>
                          </a:stretch>
                        </pic:blipFill>
                        <pic:spPr>
                          <a:xfrm>
                            <a:off x="0" y="0"/>
                            <a:ext cx="2852928" cy="2139696"/>
                          </a:xfrm>
                          <a:prstGeom prst="rect"/>
                        </pic:spPr>
                      </pic:pic>
                    </a:graphicData>
                  </a:graphic>
                </wp:inline>
              </w:drawing>
            </w:r>
          </w:p>
          <w:p>
            <w:pPr>
              <w:spacing w:after="0"/>
              <w:jc w:val="center"/>
            </w:pPr>
            <w:r>
              <w:rPr>
                <w:rFonts w:ascii="Aptos" w:hAnsi="Aptos" w:eastAsia="Aptos"/>
                <w:b w:val="0"/>
                <w:i/>
                <w:color w:val="66736F"/>
                <w:sz w:val="15"/>
              </w:rPr>
              <w:t>Plan topographique : courbes, voirie et empreintes OSM.</w:t>
            </w:r>
          </w:p>
        </w:tc>
        <w:tc>
          <w:tcPr>
            <w:tcW w:type="dxa" w:w="4853"/>
            <w:vAlign w:val="top"/>
            <w:tcMar>
              <w:top w:w="40" w:type="dxa"/>
              <w:start w:w="50" w:type="dxa"/>
              <w:bottom w:w="40" w:type="dxa"/>
              <w:end w:w="50" w:type="dxa"/>
            </w:tcMar>
          </w:tcPr>
          <w:p>
            <w:pPr>
              <w:spacing w:after="40"/>
              <w:jc w:val="center"/>
            </w:pPr>
            <w:r>
              <w:drawing>
                <wp:inline xmlns:a="http://schemas.openxmlformats.org/drawingml/2006/main" xmlns:pic="http://schemas.openxmlformats.org/drawingml/2006/picture">
                  <wp:extent cx="2852928" cy="2139696"/>
                  <wp:docPr id="4" name="Picture 4"/>
                  <wp:cNvGraphicFramePr>
                    <a:graphicFrameLocks noChangeAspect="1"/>
                  </wp:cNvGraphicFramePr>
                  <a:graphic>
                    <a:graphicData uri="http://schemas.openxmlformats.org/drawingml/2006/picture">
                      <pic:pic>
                        <pic:nvPicPr>
                          <pic:cNvPr id="0" name="model.jpg"/>
                          <pic:cNvPicPr/>
                        </pic:nvPicPr>
                        <pic:blipFill>
                          <a:blip r:embed="rId14"/>
                          <a:stretch>
                            <a:fillRect/>
                          </a:stretch>
                        </pic:blipFill>
                        <pic:spPr>
                          <a:xfrm>
                            <a:off x="0" y="0"/>
                            <a:ext cx="2852928" cy="2139696"/>
                          </a:xfrm>
                          <a:prstGeom prst="rect"/>
                        </pic:spPr>
                      </pic:pic>
                    </a:graphicData>
                  </a:graphic>
                </wp:inline>
              </w:drawing>
            </w:r>
          </w:p>
          <w:p>
            <w:pPr>
              <w:spacing w:after="0"/>
              <w:jc w:val="center"/>
            </w:pPr>
            <w:r>
              <w:rPr>
                <w:rFonts w:ascii="Aptos" w:hAnsi="Aptos" w:eastAsia="Aptos"/>
                <w:b w:val="0"/>
                <w:i/>
                <w:color w:val="66736F"/>
                <w:sz w:val="15"/>
              </w:rPr>
              <w:t>Maquette 3D : terrain et volumes bâtis sur l’exemple d’El Khroub.</w:t>
            </w:r>
          </w:p>
        </w:tc>
      </w:tr>
    </w:tbl>
    <w:p>
      <w:pPr>
        <w:spacing w:after="0"/>
      </w:pPr>
    </w:p>
    <w:p>
      <w:pPr>
        <w:pStyle w:val="Heading2"/>
      </w:pPr>
      <w:r>
        <w:t>Livrables disponibles</w:t>
      </w:r>
    </w:p>
    <w:tbl>
      <w:tblPr>
        <w:tblW w:type="auto" w:w="0"/>
        <w:jc w:val="center"/>
        <w:tblLayout w:type="fixed"/>
        <w:tblLook w:firstColumn="1" w:firstRow="1" w:lastColumn="0" w:lastRow="0" w:noHBand="0" w:noVBand="1" w:val="04A0"/>
        <w:tblBorders>
          <w:top w:val="single" w:sz="5" w:space="0" w:color="D8E1DD"/>
          <w:left w:val="single" w:sz="5" w:space="0" w:color="D8E1DD"/>
          <w:bottom w:val="single" w:sz="5" w:space="0" w:color="D8E1DD"/>
          <w:right w:val="single" w:sz="5" w:space="0" w:color="D8E1DD"/>
          <w:insideH w:val="single" w:sz="5" w:space="0" w:color="D8E1DD"/>
          <w:insideV w:val="single" w:sz="5" w:space="0" w:color="D8E1DD"/>
        </w:tblBorders>
      </w:tblPr>
      <w:tblGrid>
        <w:gridCol w:w="1930"/>
        <w:gridCol w:w="3226"/>
        <w:gridCol w:w="4709"/>
      </w:tblGrid>
      <w:tr>
        <w:trPr>
          <w:tblHeader w:val="true"/>
        </w:trPr>
        <w:tc>
          <w:tcPr>
            <w:tcW w:type="dxa" w:w="3298"/>
            <w:shd w:fill="153E3D" w:val="clear"/>
            <w:tcMar>
              <w:top w:w="85" w:type="dxa"/>
              <w:start w:w="100" w:type="dxa"/>
              <w:bottom w:w="85" w:type="dxa"/>
              <w:end w:w="100" w:type="dxa"/>
            </w:tcMar>
          </w:tcPr>
          <w:p>
            <w:pPr>
              <w:spacing w:after="0"/>
            </w:pPr>
            <w:r>
              <w:rPr>
                <w:rFonts w:ascii="Aptos" w:hAnsi="Aptos" w:eastAsia="Aptos"/>
                <w:b/>
                <w:i w:val="0"/>
                <w:color w:val="FFFFFF"/>
                <w:sz w:val="17"/>
              </w:rPr>
              <w:t>Livrable</w:t>
            </w:r>
          </w:p>
        </w:tc>
        <w:tc>
          <w:tcPr>
            <w:tcW w:type="dxa" w:w="3298"/>
            <w:shd w:fill="153E3D" w:val="clear"/>
            <w:tcMar>
              <w:top w:w="85" w:type="dxa"/>
              <w:start w:w="100" w:type="dxa"/>
              <w:bottom w:w="85" w:type="dxa"/>
              <w:end w:w="100" w:type="dxa"/>
            </w:tcMar>
          </w:tcPr>
          <w:p>
            <w:pPr>
              <w:spacing w:after="0"/>
            </w:pPr>
            <w:r>
              <w:rPr>
                <w:rFonts w:ascii="Aptos" w:hAnsi="Aptos" w:eastAsia="Aptos"/>
                <w:b/>
                <w:i w:val="0"/>
                <w:color w:val="FFFFFF"/>
                <w:sz w:val="17"/>
              </w:rPr>
              <w:t>Formats</w:t>
            </w:r>
          </w:p>
        </w:tc>
        <w:tc>
          <w:tcPr>
            <w:tcW w:type="dxa" w:w="3298"/>
            <w:shd w:fill="153E3D" w:val="clear"/>
            <w:tcMar>
              <w:top w:w="85" w:type="dxa"/>
              <w:start w:w="100" w:type="dxa"/>
              <w:bottom w:w="85" w:type="dxa"/>
              <w:end w:w="100" w:type="dxa"/>
            </w:tcMar>
          </w:tcPr>
          <w:p>
            <w:pPr>
              <w:spacing w:after="0"/>
            </w:pPr>
            <w:r>
              <w:rPr>
                <w:rFonts w:ascii="Aptos" w:hAnsi="Aptos" w:eastAsia="Aptos"/>
                <w:b/>
                <w:i w:val="0"/>
                <w:color w:val="FFFFFF"/>
                <w:sz w:val="17"/>
              </w:rPr>
              <w:t>Usage courant</w:t>
            </w:r>
          </w:p>
        </w:tc>
      </w:tr>
      <w:tr>
        <w:tc>
          <w:tcPr>
            <w:tcW w:type="dxa" w:w="1930"/>
            <w:shd w:fill="F2F5F3" w:val="clear"/>
            <w:tcMar>
              <w:top w:w="70" w:type="dxa"/>
              <w:start w:w="100" w:type="dxa"/>
              <w:bottom w:w="70" w:type="dxa"/>
              <w:end w:w="100" w:type="dxa"/>
            </w:tcMar>
            <w:vAlign w:val="center"/>
          </w:tcPr>
          <w:p>
            <w:pPr>
              <w:spacing w:after="0" w:line="240" w:lineRule="auto"/>
            </w:pPr>
            <w:r>
              <w:rPr>
                <w:rFonts w:ascii="Aptos" w:hAnsi="Aptos" w:eastAsia="Aptos"/>
                <w:b/>
                <w:i w:val="0"/>
                <w:color w:val="283431"/>
                <w:sz w:val="16"/>
              </w:rPr>
              <w:t>Carte d’analyse</w:t>
            </w:r>
          </w:p>
        </w:tc>
        <w:tc>
          <w:tcPr>
            <w:tcW w:type="dxa" w:w="3226"/>
            <w:shd w:fill="F2F5F3"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6"/>
              </w:rPr>
              <w:t>SVG · PNG haute résolution · impression A3</w:t>
            </w:r>
          </w:p>
        </w:tc>
        <w:tc>
          <w:tcPr>
            <w:tcW w:type="dxa" w:w="4709"/>
            <w:shd w:fill="F2F5F3"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6"/>
              </w:rPr>
              <w:t>Rapport, présentation ou retouche graphique.</w:t>
            </w:r>
          </w:p>
        </w:tc>
      </w:tr>
      <w:tr>
        <w:tc>
          <w:tcPr>
            <w:tcW w:type="dxa" w:w="1930"/>
            <w:shd w:fill="FFFFFF" w:val="clear"/>
            <w:tcMar>
              <w:top w:w="70" w:type="dxa"/>
              <w:start w:w="100" w:type="dxa"/>
              <w:bottom w:w="70" w:type="dxa"/>
              <w:end w:w="100" w:type="dxa"/>
            </w:tcMar>
            <w:vAlign w:val="center"/>
          </w:tcPr>
          <w:p>
            <w:pPr>
              <w:spacing w:after="0" w:line="240" w:lineRule="auto"/>
            </w:pPr>
            <w:r>
              <w:rPr>
                <w:rFonts w:ascii="Aptos" w:hAnsi="Aptos" w:eastAsia="Aptos"/>
                <w:b/>
                <w:i w:val="0"/>
                <w:color w:val="283431"/>
                <w:sz w:val="16"/>
              </w:rPr>
              <w:t>Plan topographique</w:t>
            </w:r>
          </w:p>
        </w:tc>
        <w:tc>
          <w:tcPr>
            <w:tcW w:type="dxa" w:w="3226"/>
            <w:shd w:fill="FFFFFF"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6"/>
              </w:rPr>
              <w:t>DXF R12 · SVG · PNG</w:t>
            </w:r>
          </w:p>
        </w:tc>
        <w:tc>
          <w:tcPr>
            <w:tcW w:type="dxa" w:w="4709"/>
            <w:shd w:fill="FFFFFF"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6"/>
              </w:rPr>
              <w:t>Lecture de site et reprise en DAO/CAO.</w:t>
            </w:r>
          </w:p>
        </w:tc>
      </w:tr>
      <w:tr>
        <w:tc>
          <w:tcPr>
            <w:tcW w:type="dxa" w:w="1930"/>
            <w:shd w:fill="F2F5F3" w:val="clear"/>
            <w:tcMar>
              <w:top w:w="70" w:type="dxa"/>
              <w:start w:w="100" w:type="dxa"/>
              <w:bottom w:w="70" w:type="dxa"/>
              <w:end w:w="100" w:type="dxa"/>
            </w:tcMar>
            <w:vAlign w:val="center"/>
          </w:tcPr>
          <w:p>
            <w:pPr>
              <w:spacing w:after="0" w:line="240" w:lineRule="auto"/>
            </w:pPr>
            <w:r>
              <w:rPr>
                <w:rFonts w:ascii="Aptos" w:hAnsi="Aptos" w:eastAsia="Aptos"/>
                <w:b/>
                <w:i w:val="0"/>
                <w:color w:val="283431"/>
                <w:sz w:val="16"/>
              </w:rPr>
              <w:t>Coupe de terrain</w:t>
            </w:r>
          </w:p>
        </w:tc>
        <w:tc>
          <w:tcPr>
            <w:tcW w:type="dxa" w:w="3226"/>
            <w:shd w:fill="F2F5F3"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6"/>
              </w:rPr>
              <w:t>DXF · SVG · PNG</w:t>
            </w:r>
          </w:p>
        </w:tc>
        <w:tc>
          <w:tcPr>
            <w:tcW w:type="dxa" w:w="4709"/>
            <w:shd w:fill="F2F5F3"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6"/>
              </w:rPr>
              <w:t>Profil topographique et bâtiments traversés.</w:t>
            </w:r>
          </w:p>
        </w:tc>
      </w:tr>
      <w:tr>
        <w:tc>
          <w:tcPr>
            <w:tcW w:type="dxa" w:w="1930"/>
            <w:shd w:fill="FFFFFF" w:val="clear"/>
            <w:tcMar>
              <w:top w:w="70" w:type="dxa"/>
              <w:start w:w="100" w:type="dxa"/>
              <w:bottom w:w="70" w:type="dxa"/>
              <w:end w:w="100" w:type="dxa"/>
            </w:tcMar>
            <w:vAlign w:val="center"/>
          </w:tcPr>
          <w:p>
            <w:pPr>
              <w:spacing w:after="0" w:line="240" w:lineRule="auto"/>
            </w:pPr>
            <w:r>
              <w:rPr>
                <w:rFonts w:ascii="Aptos" w:hAnsi="Aptos" w:eastAsia="Aptos"/>
                <w:b/>
                <w:i w:val="0"/>
                <w:color w:val="283431"/>
                <w:sz w:val="16"/>
              </w:rPr>
              <w:t>Maquette 3D</w:t>
            </w:r>
          </w:p>
        </w:tc>
        <w:tc>
          <w:tcPr>
            <w:tcW w:type="dxa" w:w="3226"/>
            <w:shd w:fill="FFFFFF"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6"/>
              </w:rPr>
              <w:t>OBJ · STL · aperçu PNG</w:t>
            </w:r>
          </w:p>
        </w:tc>
        <w:tc>
          <w:tcPr>
            <w:tcW w:type="dxa" w:w="4709"/>
            <w:shd w:fill="FFFFFF"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6"/>
              </w:rPr>
              <w:t>Visualisation, modélisation ou préparation à l’impression 3D.</w:t>
            </w:r>
          </w:p>
        </w:tc>
      </w:tr>
      <w:tr>
        <w:tc>
          <w:tcPr>
            <w:tcW w:type="dxa" w:w="1930"/>
            <w:shd w:fill="F2F5F3" w:val="clear"/>
            <w:tcMar>
              <w:top w:w="70" w:type="dxa"/>
              <w:start w:w="100" w:type="dxa"/>
              <w:bottom w:w="70" w:type="dxa"/>
              <w:end w:w="100" w:type="dxa"/>
            </w:tcMar>
            <w:vAlign w:val="center"/>
          </w:tcPr>
          <w:p>
            <w:pPr>
              <w:spacing w:after="0" w:line="240" w:lineRule="auto"/>
            </w:pPr>
            <w:r>
              <w:rPr>
                <w:rFonts w:ascii="Aptos" w:hAnsi="Aptos" w:eastAsia="Aptos"/>
                <w:b/>
                <w:i w:val="0"/>
                <w:color w:val="283431"/>
                <w:sz w:val="16"/>
              </w:rPr>
              <w:t>Données GADM</w:t>
            </w:r>
          </w:p>
        </w:tc>
        <w:tc>
          <w:tcPr>
            <w:tcW w:type="dxa" w:w="3226"/>
            <w:shd w:fill="F2F5F3"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6"/>
              </w:rPr>
              <w:t>Formats officiels selon version et pays</w:t>
            </w:r>
          </w:p>
        </w:tc>
        <w:tc>
          <w:tcPr>
            <w:tcW w:type="dxa" w:w="4709"/>
            <w:shd w:fill="F2F5F3"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6"/>
              </w:rPr>
              <w:t>Analyse administrative et SIG.</w:t>
            </w:r>
          </w:p>
        </w:tc>
      </w:tr>
    </w:tbl>
    <w:p>
      <w:pPr>
        <w:spacing w:after="0"/>
      </w:pPr>
    </w:p>
    <w:p>
      <w:r>
        <w:br w:type="page"/>
      </w:r>
    </w:p>
    <w:p>
      <w:pPr>
        <w:spacing w:before="40" w:after="60"/>
      </w:pPr>
      <w:r>
        <w:rPr>
          <w:rFonts w:ascii="Aptos" w:hAnsi="Aptos" w:eastAsia="Aptos"/>
          <w:b/>
          <w:i w:val="0"/>
          <w:color w:val="D98F6A"/>
          <w:sz w:val="16"/>
        </w:rPr>
        <w:t>04 · DONNÉES ET LIMITES</w:t>
      </w:r>
    </w:p>
    <w:p>
      <w:pPr>
        <w:pStyle w:val="Heading1"/>
      </w:pPr>
      <w:r>
        <w:t>Des résultats transparents et contextualisés</w:t>
      </w:r>
    </w:p>
    <w:tbl>
      <w:tblPr>
        <w:tblW w:type="auto" w:w="0"/>
        <w:jc w:val="center"/>
        <w:tblLayout w:type="fixed"/>
        <w:tblLook w:firstColumn="1" w:firstRow="1" w:lastColumn="0" w:lastRow="0" w:noHBand="0" w:noVBand="1" w:val="04A0"/>
        <w:tblBorders>
          <w:top w:val="single" w:sz="5" w:space="0" w:color="D8E1DD"/>
          <w:left w:val="single" w:sz="5" w:space="0" w:color="D8E1DD"/>
          <w:bottom w:val="single" w:sz="5" w:space="0" w:color="D8E1DD"/>
          <w:right w:val="single" w:sz="5" w:space="0" w:color="D8E1DD"/>
          <w:insideH w:val="single" w:sz="5" w:space="0" w:color="D8E1DD"/>
          <w:insideV w:val="single" w:sz="5" w:space="0" w:color="D8E1DD"/>
        </w:tblBorders>
      </w:tblPr>
      <w:tblGrid>
        <w:gridCol w:w="2203"/>
        <w:gridCol w:w="2448"/>
        <w:gridCol w:w="5213"/>
      </w:tblGrid>
      <w:tr>
        <w:trPr>
          <w:tblHeader w:val="true"/>
        </w:trPr>
        <w:tc>
          <w:tcPr>
            <w:tcW w:type="dxa" w:w="3298"/>
            <w:shd w:fill="153E3D" w:val="clear"/>
            <w:tcMar>
              <w:top w:w="85" w:type="dxa"/>
              <w:start w:w="100" w:type="dxa"/>
              <w:bottom w:w="85" w:type="dxa"/>
              <w:end w:w="100" w:type="dxa"/>
            </w:tcMar>
          </w:tcPr>
          <w:p>
            <w:pPr>
              <w:spacing w:after="0"/>
            </w:pPr>
            <w:r>
              <w:rPr>
                <w:rFonts w:ascii="Aptos" w:hAnsi="Aptos" w:eastAsia="Aptos"/>
                <w:b/>
                <w:i w:val="0"/>
                <w:color w:val="FFFFFF"/>
                <w:sz w:val="17"/>
              </w:rPr>
              <w:t>Thème</w:t>
            </w:r>
          </w:p>
        </w:tc>
        <w:tc>
          <w:tcPr>
            <w:tcW w:type="dxa" w:w="3298"/>
            <w:shd w:fill="153E3D" w:val="clear"/>
            <w:tcMar>
              <w:top w:w="85" w:type="dxa"/>
              <w:start w:w="100" w:type="dxa"/>
              <w:bottom w:w="85" w:type="dxa"/>
              <w:end w:w="100" w:type="dxa"/>
            </w:tcMar>
          </w:tcPr>
          <w:p>
            <w:pPr>
              <w:spacing w:after="0"/>
            </w:pPr>
            <w:r>
              <w:rPr>
                <w:rFonts w:ascii="Aptos" w:hAnsi="Aptos" w:eastAsia="Aptos"/>
                <w:b/>
                <w:i w:val="0"/>
                <w:color w:val="FFFFFF"/>
                <w:sz w:val="17"/>
              </w:rPr>
              <w:t>Source principale</w:t>
            </w:r>
          </w:p>
        </w:tc>
        <w:tc>
          <w:tcPr>
            <w:tcW w:type="dxa" w:w="3298"/>
            <w:shd w:fill="153E3D" w:val="clear"/>
            <w:tcMar>
              <w:top w:w="85" w:type="dxa"/>
              <w:start w:w="100" w:type="dxa"/>
              <w:bottom w:w="85" w:type="dxa"/>
              <w:end w:w="100" w:type="dxa"/>
            </w:tcMar>
          </w:tcPr>
          <w:p>
            <w:pPr>
              <w:spacing w:after="0"/>
            </w:pPr>
            <w:r>
              <w:rPr>
                <w:rFonts w:ascii="Aptos" w:hAnsi="Aptos" w:eastAsia="Aptos"/>
                <w:b/>
                <w:i w:val="0"/>
                <w:color w:val="FFFFFF"/>
                <w:sz w:val="17"/>
              </w:rPr>
              <w:t>À retenir</w:t>
            </w:r>
          </w:p>
        </w:tc>
      </w:tr>
      <w:tr>
        <w:tc>
          <w:tcPr>
            <w:tcW w:type="dxa" w:w="2203"/>
            <w:shd w:fill="F2F5F3" w:val="clear"/>
            <w:tcMar>
              <w:top w:w="70" w:type="dxa"/>
              <w:start w:w="100" w:type="dxa"/>
              <w:bottom w:w="70" w:type="dxa"/>
              <w:end w:w="100" w:type="dxa"/>
            </w:tcMar>
            <w:vAlign w:val="center"/>
          </w:tcPr>
          <w:p>
            <w:pPr>
              <w:spacing w:after="0" w:line="240" w:lineRule="auto"/>
            </w:pPr>
            <w:r>
              <w:rPr>
                <w:rFonts w:ascii="Aptos" w:hAnsi="Aptos" w:eastAsia="Aptos"/>
                <w:b/>
                <w:i w:val="0"/>
                <w:color w:val="283431"/>
                <w:sz w:val="16"/>
              </w:rPr>
              <w:t>Rues, bâtiments, usages, services</w:t>
            </w:r>
          </w:p>
        </w:tc>
        <w:tc>
          <w:tcPr>
            <w:tcW w:type="dxa" w:w="2448"/>
            <w:shd w:fill="F2F5F3"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6"/>
              </w:rPr>
              <w:t>OpenStreetMap / Overpass</w:t>
            </w:r>
          </w:p>
        </w:tc>
        <w:tc>
          <w:tcPr>
            <w:tcW w:type="dxa" w:w="5213"/>
            <w:shd w:fill="F2F5F3"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6"/>
              </w:rPr>
              <w:t>La couverture varie selon le lieu. Afficher l’attribution © OpenStreetMap contributors (ODbL).</w:t>
            </w:r>
          </w:p>
        </w:tc>
      </w:tr>
      <w:tr>
        <w:tc>
          <w:tcPr>
            <w:tcW w:type="dxa" w:w="2203"/>
            <w:shd w:fill="FFFFFF" w:val="clear"/>
            <w:tcMar>
              <w:top w:w="70" w:type="dxa"/>
              <w:start w:w="100" w:type="dxa"/>
              <w:bottom w:w="70" w:type="dxa"/>
              <w:end w:w="100" w:type="dxa"/>
            </w:tcMar>
            <w:vAlign w:val="center"/>
          </w:tcPr>
          <w:p>
            <w:pPr>
              <w:spacing w:after="0" w:line="240" w:lineRule="auto"/>
            </w:pPr>
            <w:r>
              <w:rPr>
                <w:rFonts w:ascii="Aptos" w:hAnsi="Aptos" w:eastAsia="Aptos"/>
                <w:b/>
                <w:i w:val="0"/>
                <w:color w:val="283431"/>
                <w:sz w:val="16"/>
              </w:rPr>
              <w:t>Relief</w:t>
            </w:r>
          </w:p>
        </w:tc>
        <w:tc>
          <w:tcPr>
            <w:tcW w:type="dxa" w:w="2448"/>
            <w:shd w:fill="FFFFFF"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6"/>
              </w:rPr>
              <w:t>Terrarium · données SRTM/USGS</w:t>
            </w:r>
          </w:p>
        </w:tc>
        <w:tc>
          <w:tcPr>
            <w:tcW w:type="dxa" w:w="5213"/>
            <w:shd w:fill="FFFFFF"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6"/>
              </w:rPr>
              <w:t>Une représentation à l’échelle de la résolution altimétrique disponible.</w:t>
            </w:r>
          </w:p>
        </w:tc>
      </w:tr>
      <w:tr>
        <w:tc>
          <w:tcPr>
            <w:tcW w:type="dxa" w:w="2203"/>
            <w:shd w:fill="F2F5F3" w:val="clear"/>
            <w:tcMar>
              <w:top w:w="70" w:type="dxa"/>
              <w:start w:w="100" w:type="dxa"/>
              <w:bottom w:w="70" w:type="dxa"/>
              <w:end w:w="100" w:type="dxa"/>
            </w:tcMar>
            <w:vAlign w:val="center"/>
          </w:tcPr>
          <w:p>
            <w:pPr>
              <w:spacing w:after="0" w:line="240" w:lineRule="auto"/>
            </w:pPr>
            <w:r>
              <w:rPr>
                <w:rFonts w:ascii="Aptos" w:hAnsi="Aptos" w:eastAsia="Aptos"/>
                <w:b/>
                <w:i w:val="0"/>
                <w:color w:val="283431"/>
                <w:sz w:val="16"/>
              </w:rPr>
              <w:t>Climat</w:t>
            </w:r>
          </w:p>
        </w:tc>
        <w:tc>
          <w:tcPr>
            <w:tcW w:type="dxa" w:w="2448"/>
            <w:shd w:fill="F2F5F3"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6"/>
              </w:rPr>
              <w:t>NASA POWER</w:t>
            </w:r>
          </w:p>
        </w:tc>
        <w:tc>
          <w:tcPr>
            <w:tcW w:type="dxa" w:w="5213"/>
            <w:shd w:fill="F2F5F3"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6"/>
              </w:rPr>
              <w:t>Indicateurs climatiques de contexte, pas une mesure microclimatique du site.</w:t>
            </w:r>
          </w:p>
        </w:tc>
      </w:tr>
      <w:tr>
        <w:tc>
          <w:tcPr>
            <w:tcW w:type="dxa" w:w="2203"/>
            <w:shd w:fill="FFFFFF" w:val="clear"/>
            <w:tcMar>
              <w:top w:w="70" w:type="dxa"/>
              <w:start w:w="100" w:type="dxa"/>
              <w:bottom w:w="70" w:type="dxa"/>
              <w:end w:w="100" w:type="dxa"/>
            </w:tcMar>
            <w:vAlign w:val="center"/>
          </w:tcPr>
          <w:p>
            <w:pPr>
              <w:spacing w:after="0" w:line="240" w:lineRule="auto"/>
            </w:pPr>
            <w:r>
              <w:rPr>
                <w:rFonts w:ascii="Aptos" w:hAnsi="Aptos" w:eastAsia="Aptos"/>
                <w:b/>
                <w:i w:val="0"/>
                <w:color w:val="283431"/>
                <w:sz w:val="16"/>
              </w:rPr>
              <w:t>Unités administratives</w:t>
            </w:r>
          </w:p>
        </w:tc>
        <w:tc>
          <w:tcPr>
            <w:tcW w:type="dxa" w:w="2448"/>
            <w:shd w:fill="FFFFFF"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6"/>
              </w:rPr>
              <w:t>GADM</w:t>
            </w:r>
          </w:p>
        </w:tc>
        <w:tc>
          <w:tcPr>
            <w:tcW w:type="dxa" w:w="5213"/>
            <w:shd w:fill="FFFFFF" w:val="clear"/>
            <w:tcMar>
              <w:top w:w="70" w:type="dxa"/>
              <w:start w:w="100" w:type="dxa"/>
              <w:bottom w:w="70" w:type="dxa"/>
              <w:end w:w="100" w:type="dxa"/>
            </w:tcMar>
            <w:vAlign w:val="center"/>
          </w:tcPr>
          <w:p>
            <w:pPr>
              <w:spacing w:after="0" w:line="240" w:lineRule="auto"/>
            </w:pPr>
            <w:r>
              <w:rPr>
                <w:rFonts w:ascii="Aptos" w:hAnsi="Aptos" w:eastAsia="Aptos"/>
                <w:b w:val="0"/>
                <w:i w:val="0"/>
                <w:color w:val="283431"/>
                <w:sz w:val="16"/>
              </w:rPr>
              <w:t>Limites administratives ; aperçu courant 4.1 et téléchargements officiels disponibles selon la version.</w:t>
            </w:r>
          </w:p>
        </w:tc>
      </w:tr>
    </w:tbl>
    <w:p>
      <w:pPr>
        <w:spacing w:after="0"/>
      </w:pPr>
    </w:p>
    <w:p>
      <w:pPr>
        <w:pStyle w:val="Heading2"/>
      </w:pPr>
      <w:r>
        <w:t>Précautions d’interprétation</w:t>
      </w:r>
    </w:p>
    <w:tbl>
      <w:tblPr>
        <w:tblW w:type="auto" w:w="0"/>
        <w:jc w:val="center"/>
        <w:tblLayout w:type="fixed"/>
        <w:tblLook w:firstColumn="1" w:firstRow="1" w:lastColumn="0" w:lastRow="0" w:noHBand="0" w:noVBand="1" w:val="04A0"/>
      </w:tblPr>
      <w:tblGrid>
        <w:gridCol w:w="9893"/>
      </w:tblGrid>
      <w:tr>
        <w:tc>
          <w:tcPr>
            <w:tcW w:type="dxa" w:w="9850"/>
            <w:shd w:fill="FBF5F0" w:val="clear"/>
            <w:tcMar>
              <w:top w:w="120" w:type="dxa"/>
              <w:start w:w="170" w:type="dxa"/>
              <w:bottom w:w="120" w:type="dxa"/>
              <w:end w:w="170" w:type="dxa"/>
            </w:tcMar>
          </w:tcPr>
          <w:p>
            <w:pPr>
              <w:spacing w:after="60"/>
            </w:pPr>
            <w:r>
              <w:rPr>
                <w:rFonts w:ascii="Aptos" w:hAnsi="Aptos" w:eastAsia="Aptos"/>
                <w:b/>
                <w:i w:val="0"/>
                <w:color w:val="D98F6A"/>
                <w:sz w:val="20"/>
              </w:rPr>
              <w:t>Une aide à l’étude, pas un document certifié</w:t>
            </w:r>
          </w:p>
          <w:p>
            <w:pPr>
              <w:spacing w:after="0" w:line="259" w:lineRule="auto"/>
            </w:pPr>
            <w:r>
              <w:rPr>
                <w:rFonts w:ascii="Aptos" w:hAnsi="Aptos" w:eastAsia="Aptos"/>
                <w:b w:val="0"/>
                <w:i w:val="0"/>
                <w:color w:val="283431"/>
                <w:sz w:val="18"/>
              </w:rPr>
              <w:t>La précision dépend des données cartographiques disponibles. Les hauteurs de bâtiments peuvent manquer et certains rendus utilisent une valeur de lecture par défaut. Une parcelle n’apparaît que si elle est cartographiée dans OpenStreetMap : aucune limite cadastrale ou juridique n’est créée. GADM décrit des subdivisions administratives, pas des propriétés foncières.</w:t>
            </w:r>
          </w:p>
        </w:tc>
      </w:tr>
    </w:tbl>
    <w:p>
      <w:pPr>
        <w:spacing w:after="0"/>
      </w:pPr>
    </w:p>
    <w:p>
      <w:pPr>
        <w:pStyle w:val="ListBullet"/>
      </w:pPr>
      <w:r>
        <w:rPr>
          <w:rFonts w:ascii="Aptos" w:hAnsi="Aptos" w:eastAsia="Aptos"/>
          <w:b w:val="0"/>
          <w:i w:val="0"/>
          <w:color w:val="283431"/>
          <w:sz w:val="20"/>
        </w:rPr>
        <w:t>Vérifier les éléments importants auprès des sources officielles et des professionnels compétents avant une décision réglementaire, foncière ou de construction.</w:t>
      </w:r>
    </w:p>
    <w:p>
      <w:pPr>
        <w:pStyle w:val="ListBullet"/>
      </w:pPr>
      <w:r>
        <w:rPr>
          <w:rFonts w:ascii="Aptos" w:hAnsi="Aptos" w:eastAsia="Aptos"/>
          <w:b w:val="0"/>
          <w:i w:val="0"/>
          <w:color w:val="283431"/>
          <w:sz w:val="20"/>
        </w:rPr>
        <w:t>Conserver les attributions des producteurs lors de toute diffusion des cartes et respecter la licence OpenStreetMap (ODbL) et les conditions GADM applicables.</w:t>
      </w:r>
    </w:p>
    <w:p>
      <w:pPr>
        <w:pStyle w:val="Heading2"/>
      </w:pPr>
      <w:r>
        <w:t>En synthèse</w:t>
      </w:r>
    </w:p>
    <w:p>
      <w:r>
        <w:rPr>
          <w:rFonts w:ascii="Aptos" w:hAnsi="Aptos" w:eastAsia="Aptos"/>
          <w:b w:val="0"/>
          <w:i w:val="0"/>
          <w:color w:val="283431"/>
          <w:sz w:val="20"/>
        </w:rPr>
        <w:t>UrbaTrame rassemble une chaîne de travail cohérente — repérage, analyse, visualisation et export — pour rendre les données urbaines plus lisibles. Ses sorties constituent des supports de diagnostic et de discussion, à compléter par les relevés, vérifications et études réglementaires nécessaires au projet.</w:t>
      </w:r>
    </w:p>
    <w:sectPr w:rsidR="00FC693F" w:rsidRPr="0006063C" w:rsidSect="00034616">
      <w:headerReference w:type="default" r:id="rId9"/>
      <w:footerReference w:type="default" r:id="rId10"/>
      <w:pgSz w:w="11909" w:h="16834"/>
      <w:pgMar w:top="922" w:right="1008" w:bottom="893" w:left="1008"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Aptos" w:hAnsi="Aptos" w:eastAsia="Aptos"/>
        <w:b w:val="0"/>
        <w:i w:val="0"/>
        <w:color w:val="66736F"/>
        <w:sz w:val="16"/>
      </w:rPr>
      <w:t xml:space="preserve">URBATRAME  ·  14 OCTOBRE 2026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8" w:space="4" w:color="D98F6A"/>
      </w:pBdr>
    </w:pPr>
    <w:r>
      <w:rPr>
        <w:rFonts w:ascii="Aptos" w:hAnsi="Aptos" w:eastAsia="Aptos"/>
        <w:b/>
        <w:i w:val="0"/>
        <w:color w:val="153E3D"/>
        <w:sz w:val="16"/>
      </w:rPr>
      <w:t>URBATRAME</w:t>
    </w:r>
    <w:r>
      <w:rPr>
        <w:rFonts w:ascii="Aptos" w:hAnsi="Aptos" w:eastAsia="Aptos"/>
        <w:b w:val="0"/>
        <w:i w:val="0"/>
        <w:color w:val="66736F"/>
        <w:sz w:val="16"/>
      </w:rPr>
      <w:t xml:space="preserve">   ·   ANALYSE DES SITES URBAINS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Aptos" w:hAnsi="Aptos" w:eastAsia="Aptos"/>
      <w:color w:val="28343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eastAsia="Aptos Display"/>
      <w:b/>
      <w:bCs/>
      <w:color w:val="153E3D"/>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eastAsia="Aptos"/>
      <w:b/>
      <w:bCs/>
      <w:color w:val="153E3D"/>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eastAsia="Aptos"/>
      <w:b/>
      <w:bCs/>
      <w:color w:val="D98F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53E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17" w:hanging="173"/>
      <w:contextualSpacing/>
    </w:pPr>
    <w:rPr>
      <w:rFonts w:ascii="Aptos" w:hAnsi="Aptos"/>
      <w:color w:val="283431"/>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17" w:hanging="173"/>
      <w:contextualSpacing/>
    </w:pPr>
    <w:rPr>
      <w:rFonts w:ascii="Aptos" w:hAnsi="Aptos"/>
      <w:color w:val="283431"/>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UrbaTrame — Rapport de présentation</dc:title>
  <dc:subject>Présentation fonctionnelle de l’application UrbaTrame</dc:subject>
  <dc:creator>UrbaTrame</dc:creator>
  <cp:keywords>UrbaTrame, analyse urbaine, Altiplan, GADM, notice, présentation</cp:keywords>
  <dc:description>generated by python-docx</dc:description>
  <cp:lastModifiedBy/>
  <cp:revision>1</cp:revision>
  <dcterms:created xsi:type="dcterms:W3CDTF">2013-12-23T23:15:00Z</dcterms:created>
  <dcterms:modified xsi:type="dcterms:W3CDTF">2013-12-23T23:15:00Z</dcterms:modified>
  <cp:category/>
</cp:coreProperties>
</file>