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宋体" w:hAnsi="宋体" w:eastAsia="宋体"/>
          <w:b/>
          <w:sz w:val="36"/>
        </w:rPr>
        <w:t>新干枢纽扩容工程可行性研究报告（节选）</w:t>
      </w:r>
    </w:p>
    <w:p>
      <w:pPr>
        <w:pStyle w:val="Heading1"/>
      </w:pPr>
      <w:r>
        <w:t>2 水文</w:t>
      </w:r>
    </w:p>
    <w:p>
      <w:pPr>
        <w:spacing w:line="360" w:lineRule="auto"/>
        <w:ind w:firstLine="420"/>
        <w:jc w:val="both"/>
      </w:pPr>
      <w:r>
        <w:t>赣江中游河段的水文情势直接决定新干枢纽的规模与调度方式。本章依据峡江站等测站的实测系列，分析径流、洪水与水位流量关系。</w:t>
      </w:r>
    </w:p>
    <w:p>
      <w:pPr>
        <w:spacing w:line="360" w:lineRule="auto"/>
        <w:ind w:firstLine="420"/>
        <w:jc w:val="both"/>
      </w:pPr>
      <w:r>
        <w:t>测站资料系列截至 2023 年，按规范要求进行了一致性、可靠性与代表性分析。</w:t>
      </w:r>
    </w:p>
    <w:p>
      <w:pPr>
        <w:spacing w:line="360" w:lineRule="auto"/>
        <w:ind w:firstLine="420"/>
        <w:jc w:val="both"/>
      </w:pPr>
      <w:r>
        <w:t>本章同时说明资料的引用与换算基准，未作特殊说明时水位均采用 1985 国家高程基准。</w:t>
      </w:r>
    </w:p>
    <w:p>
      <w:pPr>
        <w:spacing w:line="360" w:lineRule="auto"/>
        <w:ind w:firstLine="420"/>
        <w:jc w:val="both"/>
      </w:pPr>
      <w:r>
        <w:t>流量成果按瞬时流量与日平均流量两种口径给出，使用时应注意区分。</w:t>
      </w:r>
    </w:p>
    <w:p>
      <w:pPr>
        <w:pStyle w:val="Heading2"/>
      </w:pPr>
      <w:r>
        <w:t>2.1 基本资料</w:t>
      </w:r>
    </w:p>
    <w:p>
      <w:pPr>
        <w:spacing w:line="360" w:lineRule="auto"/>
        <w:ind w:firstLine="420"/>
        <w:jc w:val="both"/>
      </w:pPr>
      <w:r>
        <w:t>峡江站位于赣江中游，集水面积约 3.7 万 km²，为国家基本水文站，观测项目包括水位、流量、含沙量与降水量。</w:t>
      </w:r>
    </w:p>
    <w:p>
      <w:pPr>
        <w:spacing w:line="360" w:lineRule="auto"/>
        <w:ind w:firstLine="420"/>
        <w:jc w:val="both"/>
      </w:pPr>
      <w:r>
        <w:t>本次共收集到该站 1953—2023 年共 71 年实测径流资料，系列长度满足规范要求。</w:t>
      </w:r>
    </w:p>
    <w:p>
      <w:pPr>
        <w:spacing w:line="360" w:lineRule="auto"/>
        <w:ind w:firstLine="420"/>
        <w:jc w:val="both"/>
      </w:pPr>
      <w:r>
        <w:t>测站高程系统已统一换算至 1985 国家高程基准。</w:t>
      </w:r>
    </w:p>
    <w:p>
      <w:pPr>
        <w:spacing w:line="360" w:lineRule="auto"/>
        <w:ind w:firstLine="420"/>
        <w:jc w:val="both"/>
      </w:pPr>
      <w:r>
        <w:t>流量资料采用流速仪法施测，测次分布基本均匀，高水期测次偏少。</w:t>
      </w:r>
    </w:p>
    <w:p>
      <w:pPr>
        <w:spacing w:line="360" w:lineRule="auto"/>
        <w:ind w:firstLine="420"/>
        <w:jc w:val="both"/>
      </w:pPr>
      <w:r>
        <w:t>资料系列按一致性、可靠性、代表性三项要求进行了审查，未发现明显跳变或系统偏差。</w:t>
      </w:r>
    </w:p>
    <w:p>
      <w:pPr>
        <w:spacing w:line="360" w:lineRule="auto"/>
        <w:ind w:firstLine="420"/>
        <w:jc w:val="both"/>
      </w:pPr>
      <w:r>
        <w:t>含沙量资料自 1965 年起施测，本次仅用于泥沙分析，未参与径流计算。</w:t>
      </w:r>
    </w:p>
    <w:p>
      <w:pPr>
        <w:spacing w:line="360" w:lineRule="auto"/>
        <w:ind w:firstLine="420"/>
        <w:jc w:val="both"/>
      </w:pPr>
      <w:r>
        <w:t>降水量资料用于径流还原与产流参数率定。</w:t>
      </w:r>
    </w:p>
    <w:p>
      <w:pPr>
        <w:spacing w:line="360" w:lineRule="auto"/>
        <w:ind w:firstLine="420"/>
        <w:jc w:val="both"/>
      </w:pPr>
      <w:r>
        <w:t>径流成果按年、月两个尺度统计，月分配采用多年平均月径流过程。</w:t>
      </w:r>
    </w:p>
    <w:p>
      <w:pPr>
        <w:spacing w:line="360" w:lineRule="auto"/>
        <w:ind w:firstLine="420"/>
        <w:jc w:val="both"/>
      </w:pPr>
      <w:r>
        <w:t>年径流统计采用水文年，水文年起始日为 4 月 1 日。</w:t>
      </w:r>
    </w:p>
    <w:p>
      <w:pPr>
        <w:spacing w:line="360" w:lineRule="auto"/>
        <w:ind w:firstLine="420"/>
        <w:jc w:val="both"/>
      </w:pPr>
      <w:r>
        <w:t>径流还原计算采用分项还原法，还原水量占实测径流的比例小于 15%。</w:t>
      </w:r>
    </w:p>
    <w:p>
      <w:pPr>
        <w:spacing w:line="360" w:lineRule="auto"/>
        <w:ind w:firstLine="420"/>
        <w:jc w:val="both"/>
      </w:pPr>
      <w:r>
        <w:t>天然径流系列经还原后长度仍为 71 年，可满足频率计算要求。</w:t>
      </w:r>
    </w:p>
    <w:p>
      <w:pPr>
        <w:spacing w:line="360" w:lineRule="auto"/>
        <w:ind w:firstLine="0"/>
        <w:jc w:val="center"/>
      </w:pPr>
      <w:r>
        <w:t>表2.1.1  峡江站天然径流成果表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单位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均值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Cv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Cs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</w:tbl>
    <w:p>
      <w:pPr>
        <w:spacing w:line="360" w:lineRule="auto"/>
        <w:ind w:firstLine="420"/>
        <w:jc w:val="both"/>
      </w:pPr>
      <w:r>
        <w:t>如表2.1.1所示，峡江站多年平均径流量为 682 亿 m³，年径流变差系数 Cv 为 0.22。</w:t>
      </w:r>
    </w:p>
    <w:p>
      <w:pPr>
        <w:spacing w:line="360" w:lineRule="auto"/>
        <w:ind w:firstLine="420"/>
        <w:jc w:val="both"/>
      </w:pPr>
      <w:r>
        <w:t>径流的年内分配不均，汛期 4—9 月径流量约占全年的七成。</w:t>
      </w:r>
    </w:p>
    <w:p>
      <w:pPr>
        <w:spacing w:line="360" w:lineRule="auto"/>
        <w:ind w:firstLine="420"/>
        <w:jc w:val="both"/>
      </w:pPr>
      <w:r>
        <w:t>月分配成果按各月多年平均值统计，各月合计与年径流量一致。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312"/>
            <w:gridSpan w:val="4"/>
          </w:tcPr>
          <w:p>
            <w:pPr>
              <w:jc w:val="center"/>
            </w:pPr>
            <w:r>
              <w:t>表2.1.2　峡江站天然径流月分配表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</w:tbl>
    <w:p>
      <w:pPr>
        <w:spacing w:line="360" w:lineRule="auto"/>
        <w:ind w:firstLine="420"/>
        <w:jc w:val="both"/>
      </w:pPr>
      <w:r>
        <w:t>受上游水库调度影响，枯水期月平均流量较天然情况有所增大。</w:t>
      </w:r>
    </w:p>
    <w:p>
      <w:pPr>
        <w:spacing w:line="360" w:lineRule="auto"/>
        <w:ind w:firstLine="420"/>
        <w:jc w:val="both"/>
      </w:pPr>
      <w:r>
        <w:t>本次径流成果已与上下游相邻站的成果进行对照，沿程变化合理。</w:t>
      </w:r>
    </w:p>
    <w:p>
      <w:pPr>
        <w:spacing w:line="360" w:lineRule="auto"/>
        <w:ind w:firstLine="420"/>
        <w:jc w:val="both"/>
      </w:pPr>
      <w:r>
        <w:t>月分配成果同时用于兴利调节计算与发电量估算。</w:t>
      </w:r>
    </w:p>
    <w:p>
      <w:pPr>
        <w:spacing w:line="360" w:lineRule="auto"/>
        <w:ind w:firstLine="420"/>
        <w:jc w:val="both"/>
      </w:pPr>
      <w:r>
        <w:t>月分配成果的不确定度主要来自上游水库的调度方式。</w:t>
      </w:r>
    </w:p>
    <w:p>
      <w:pPr>
        <w:spacing w:line="360" w:lineRule="auto"/>
        <w:ind w:firstLine="420"/>
        <w:jc w:val="both"/>
      </w:pPr>
      <w:r>
        <w:t>成果的精度满足可行性研究阶段的要求。</w:t>
      </w:r>
    </w:p>
    <w:p>
      <w:pPr>
        <w:pStyle w:val="Heading2"/>
      </w:pPr>
      <w:r>
        <w:t>2.2 径流与流量</w:t>
      </w:r>
    </w:p>
    <w:p>
      <w:pPr>
        <w:spacing w:line="360" w:lineRule="auto"/>
        <w:ind w:firstLine="420"/>
        <w:jc w:val="both"/>
      </w:pPr>
      <w:r>
        <w:t>为反映逐日流量过程，按丰、平、枯三个代表年整理逐日平均流量成果。</w:t>
      </w:r>
    </w:p>
    <w:p>
      <w:pPr>
        <w:spacing w:line="360" w:lineRule="auto"/>
        <w:ind w:firstLine="420"/>
        <w:jc w:val="both"/>
      </w:pPr>
      <w:r>
        <w:t>代表年的选择以年径流量接近设计频率为原则，兼顾系列的代表性。</w:t>
      </w:r>
    </w:p>
    <w:p>
      <w:pPr>
        <w:spacing w:line="360" w:lineRule="auto"/>
        <w:ind w:firstLine="420"/>
        <w:jc w:val="both"/>
      </w:pPr>
      <w:r>
        <w:t>逐日流量成果由实测水位经水位流量关系换算得到。</w:t>
      </w:r>
    </w:p>
    <w:p>
      <w:pPr>
        <w:spacing w:line="360" w:lineRule="auto"/>
        <w:ind w:firstLine="420"/>
        <w:jc w:val="both"/>
      </w:pPr>
      <w:r>
        <w:t>日平均流量按 8 时、20 时观测值算术平均后换算。</w:t>
      </w:r>
    </w:p>
    <w:p>
      <w:pPr>
        <w:spacing w:line="360" w:lineRule="auto"/>
        <w:ind w:firstLine="420"/>
        <w:jc w:val="both"/>
      </w:pPr>
      <w:r>
        <w:t>三个代表年的年径流量分别为 905 亿 m³、668 亿 m³、452 亿 m³。</w:t>
      </w:r>
    </w:p>
    <w:p>
      <w:pPr>
        <w:spacing w:line="360" w:lineRule="auto"/>
        <w:ind w:firstLine="0"/>
        <w:jc w:val="center"/>
      </w:pPr>
      <w:r>
        <w:t>表2.2.1峡江站逐日平均流量表（一）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455</w:t>
            </w:r>
          </w:p>
        </w:tc>
      </w:tr>
    </w:tbl>
    <w:p>
      <w:pPr>
        <w:spacing w:line="360" w:lineRule="auto"/>
        <w:ind w:firstLine="420"/>
        <w:jc w:val="both"/>
      </w:pPr>
      <w:r>
        <w:t>丰水年的流量过程陡涨陡落，汛期最大日平均流量超过 8000 m³/s。</w:t>
      </w:r>
    </w:p>
    <w:p>
      <w:pPr>
        <w:spacing w:line="360" w:lineRule="auto"/>
        <w:ind w:firstLine="420"/>
        <w:jc w:val="both"/>
      </w:pPr>
      <w:r>
        <w:t>逐日流量成果按日历日排列，缺测日按前后日插补。</w:t>
      </w:r>
    </w:p>
    <w:p>
      <w:pPr>
        <w:spacing w:line="360" w:lineRule="auto"/>
        <w:ind w:firstLine="420"/>
        <w:jc w:val="both"/>
      </w:pPr>
      <w:r>
        <w:t>平水年的流量过程相对平缓，枯水期流量维持在 200 m³/s 左右。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>
        <w:tc>
          <w:tcPr>
            <w:tcW w:type="dxa" w:w="8307"/>
            <w:gridSpan w:val="13"/>
          </w:tcPr>
          <w:p>
            <w:pPr>
              <w:jc w:val="center"/>
            </w:pPr>
            <w:r>
              <w:t>表2.2.2  峡江站逐日平均流量表（二）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442</w:t>
            </w:r>
          </w:p>
        </w:tc>
      </w:tr>
    </w:tbl>
    <w:p>
      <w:pPr>
        <w:spacing w:line="360" w:lineRule="auto"/>
        <w:ind w:firstLine="420"/>
        <w:jc w:val="both"/>
      </w:pPr>
      <w:r>
        <w:t>平水年成果主要用于发电量估算与出力过程分析。</w:t>
      </w:r>
    </w:p>
    <w:p>
      <w:pPr>
        <w:spacing w:line="360" w:lineRule="auto"/>
        <w:ind w:firstLine="420"/>
        <w:jc w:val="both"/>
      </w:pPr>
      <w:r>
        <w:t>代表年的洪水过程与实测过程基本一致。</w:t>
      </w:r>
    </w:p>
    <w:p>
      <w:pPr>
        <w:spacing w:line="360" w:lineRule="auto"/>
        <w:ind w:firstLine="420"/>
        <w:jc w:val="both"/>
      </w:pPr>
      <w:r>
        <w:t>逐日成果的统计口径为水文年，跨年时段按起始年归属。</w:t>
      </w:r>
    </w:p>
    <w:p>
      <w:pPr>
        <w:spacing w:line="360" w:lineRule="auto"/>
        <w:ind w:firstLine="420"/>
        <w:jc w:val="both"/>
      </w:pPr>
      <w:r>
        <w:t>枯水年的枯季流量明显偏小，对下游供水与生态流量保障提出更高要求。</w:t>
      </w:r>
    </w:p>
    <w:p>
      <w:pPr>
        <w:spacing w:line="360" w:lineRule="auto"/>
        <w:ind w:firstLine="0"/>
        <w:jc w:val="center"/>
      </w:pPr>
      <w:r>
        <w:t>表2.2.3  峡江站逐日平均流量表（三）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455</w:t>
            </w:r>
          </w:p>
        </w:tc>
      </w:tr>
    </w:tbl>
    <w:p>
      <w:pPr>
        <w:spacing w:line="360" w:lineRule="auto"/>
        <w:ind w:firstLine="420"/>
        <w:jc w:val="both"/>
      </w:pPr>
      <w:r>
        <w:t>枯水年成果用于检验生态流量控制指标的满足程度。</w:t>
      </w:r>
    </w:p>
    <w:p>
      <w:pPr>
        <w:spacing w:line="360" w:lineRule="auto"/>
        <w:ind w:firstLine="420"/>
        <w:jc w:val="both"/>
      </w:pPr>
      <w:r>
        <w:t>上述三组逐日流量成果作为调节计算与动能经济分析的输入。</w:t>
      </w:r>
    </w:p>
    <w:p>
      <w:pPr>
        <w:spacing w:line="360" w:lineRule="auto"/>
        <w:ind w:firstLine="420"/>
        <w:jc w:val="both"/>
      </w:pPr>
      <w:r>
        <w:t>三组成果的年内总量与相应频率的年径流量偏差在 2% 以内。</w:t>
      </w:r>
    </w:p>
    <w:p>
      <w:pPr>
        <w:spacing w:line="360" w:lineRule="auto"/>
        <w:ind w:firstLine="420"/>
        <w:jc w:val="both"/>
      </w:pPr>
      <w:r>
        <w:t>成果已用于调节计算，调节流量过程与实测过程趋势一致。</w:t>
      </w:r>
    </w:p>
    <w:p>
      <w:pPr>
        <w:spacing w:line="360" w:lineRule="auto"/>
        <w:ind w:firstLine="420"/>
        <w:jc w:val="both"/>
      </w:pPr>
      <w:r>
        <w:t>施工期导流的分月设计流量按分期洪水成果推算。</w:t>
      </w:r>
    </w:p>
    <w:p>
      <w:pPr>
        <w:spacing w:line="360" w:lineRule="auto"/>
        <w:ind w:firstLine="420"/>
        <w:jc w:val="both"/>
      </w:pPr>
      <w:r>
        <w:t>逐日流量过程同时用于施工期导流的分月设计流量估算。</w:t>
      </w:r>
    </w:p>
    <w:p>
      <w:pPr>
        <w:spacing w:line="360" w:lineRule="auto"/>
        <w:ind w:firstLine="420"/>
        <w:jc w:val="both"/>
      </w:pPr>
      <w:r>
        <w:t>成果的时段划分与水文年一致。</w:t>
      </w:r>
    </w:p>
    <w:p>
      <w:pPr>
        <w:pStyle w:val="Heading2"/>
      </w:pPr>
      <w:r>
        <w:t>2.4 水位流量关系</w:t>
      </w:r>
    </w:p>
    <w:p>
      <w:pPr>
        <w:spacing w:line="360" w:lineRule="auto"/>
        <w:ind w:firstLine="420"/>
        <w:jc w:val="both"/>
      </w:pPr>
      <w:r>
        <w:t>坝址河段河道顺直、断面规整，具备稳定的水位流量关系。</w:t>
      </w:r>
    </w:p>
    <w:p>
      <w:pPr>
        <w:spacing w:line="360" w:lineRule="auto"/>
        <w:ind w:firstLine="420"/>
        <w:jc w:val="both"/>
      </w:pPr>
      <w:r>
        <w:t>关系曲线采用实测大断面与实测流量点据综合拟定，高水部分按水力学方法延长。</w:t>
      </w:r>
    </w:p>
    <w:p>
      <w:pPr>
        <w:spacing w:line="360" w:lineRule="auto"/>
        <w:ind w:firstLine="420"/>
        <w:jc w:val="both"/>
      </w:pPr>
      <w:r>
        <w:t>大断面测量采用全站仪，测点间距不大于 5 m。</w:t>
      </w:r>
    </w:p>
    <w:p>
      <w:pPr>
        <w:spacing w:line="360" w:lineRule="auto"/>
        <w:ind w:firstLine="420"/>
        <w:jc w:val="both"/>
      </w:pPr>
      <w:r>
        <w:t>断面成果已换算至统一基面，左右岸高程采用同一系统。</w:t>
      </w:r>
    </w:p>
    <w:p>
      <w:pPr>
        <w:spacing w:line="360" w:lineRule="auto"/>
        <w:ind w:firstLine="420"/>
        <w:jc w:val="both"/>
      </w:pPr>
      <w:r>
        <w:t>定线时按水位分级检验，各级水位下的流量偏差控制在 3% 以内。</w:t>
      </w:r>
    </w:p>
    <w:p>
      <w:pPr>
        <w:spacing w:line="360" w:lineRule="auto"/>
        <w:ind w:firstLine="420"/>
        <w:jc w:val="both"/>
      </w:pPr>
      <w:r>
        <w:t>水位流量关系的定线精度按规范要求检验，定线误差满足要求。</w:t>
      </w:r>
    </w:p>
    <w:p>
      <w:pPr>
        <w:spacing w:line="360" w:lineRule="auto"/>
        <w:ind w:firstLine="420"/>
        <w:jc w:val="both"/>
      </w:pPr>
      <w:r>
        <w:t>高水部分的延长采用水力学公式与上下游站对照两种方法互校。</w:t>
      </w:r>
    </w:p>
    <w:p>
      <w:pPr>
        <w:spacing w:line="360" w:lineRule="auto"/>
        <w:ind w:firstLine="0"/>
        <w:jc w:val="center"/>
      </w:pPr>
      <w:r>
        <w:t>表2.4.1  坝址水位流量关系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>
              <w:t>水位(m)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流量(m³/s)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面积(m²)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流速(m/s)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</w:tbl>
    <w:p>
      <w:pPr>
        <w:spacing w:line="360" w:lineRule="auto"/>
        <w:ind w:firstLine="420"/>
        <w:jc w:val="both"/>
      </w:pPr>
      <w:r>
        <w:t>坝址断面的水位流量关系在高水部分受下游回水影响略有抬升。</w:t>
      </w:r>
    </w:p>
    <w:p>
      <w:pPr>
        <w:spacing w:line="360" w:lineRule="auto"/>
        <w:ind w:firstLine="420"/>
        <w:jc w:val="both"/>
      </w:pPr>
      <w:r>
        <w:t>关系曲线以单值形式给出，回水影响通过分段修正。</w:t>
      </w:r>
    </w:p>
    <w:p>
      <w:pPr>
        <w:spacing w:line="360" w:lineRule="auto"/>
        <w:ind w:firstLine="0"/>
        <w:jc w:val="center"/>
      </w:pPr>
      <w:r>
        <w:t>表2.4.3  坝前水位流量关系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>
              <w:t>水位(m)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流量(m³/s)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面积(m²)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流速(m/s)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</w:tbl>
    <w:p>
      <w:pPr>
        <w:spacing w:line="360" w:lineRule="auto"/>
        <w:ind w:firstLine="420"/>
        <w:jc w:val="both"/>
      </w:pPr>
      <w:r>
        <w:t>坝前水位流量关系用于泄流能力与调洪演算的衔接。</w:t>
      </w:r>
    </w:p>
    <w:p>
      <w:pPr>
        <w:spacing w:line="360" w:lineRule="auto"/>
        <w:ind w:firstLine="420"/>
        <w:jc w:val="both"/>
      </w:pPr>
      <w:r>
        <w:t>上、下游关系曲线的差值反映了坝前壅水的高度。</w:t>
      </w:r>
    </w:p>
    <w:p>
      <w:pPr>
        <w:spacing w:line="360" w:lineRule="auto"/>
        <w:ind w:firstLine="420"/>
        <w:jc w:val="both"/>
      </w:pPr>
      <w:r>
        <w:t>各项关系的适用范围为坝前水位 24.0～38.0 m。</w:t>
      </w:r>
    </w:p>
    <w:p>
      <w:pPr>
        <w:spacing w:line="360" w:lineRule="auto"/>
        <w:ind w:firstLine="420"/>
        <w:jc w:val="both"/>
      </w:pPr>
      <w:r>
        <w:t>关系曲线在汛期与枯期分别检验，未发现明显偏离。</w:t>
      </w:r>
    </w:p>
    <w:p>
      <w:pPr>
        <w:spacing w:line="360" w:lineRule="auto"/>
        <w:ind w:firstLine="420"/>
        <w:jc w:val="both"/>
      </w:pPr>
      <w:r>
        <w:t>关系曲线每年汛前复核一次，遇较大洪水后加测校核。</w:t>
      </w:r>
    </w:p>
    <w:p>
      <w:pPr>
        <w:spacing w:line="360" w:lineRule="auto"/>
        <w:ind w:firstLine="420"/>
        <w:jc w:val="both"/>
      </w:pPr>
      <w:r>
        <w:t>曲线的控制断面与坝址断面位置一致，未作距离改正。</w:t>
      </w:r>
    </w:p>
    <w:p>
      <w:pPr>
        <w:spacing w:line="360" w:lineRule="auto"/>
        <w:ind w:firstLine="420"/>
        <w:jc w:val="both"/>
      </w:pPr>
      <w:r>
        <w:t>如表2.9.9所示，各频率设计洪水成果见附表。</w:t>
      </w:r>
    </w:p>
    <w:p>
      <w:pPr>
        <w:spacing w:line="360" w:lineRule="auto"/>
        <w:ind w:firstLine="420"/>
        <w:jc w:val="both"/>
      </w:pPr>
      <w:r>
        <w:t>上述关系在枢纽运行期应定期复核，遇河道采砂等人类活动影响时及时修正。</w:t>
      </w:r>
    </w:p>
    <w:p>
      <w:pPr>
        <w:pStyle w:val="Heading1"/>
      </w:pPr>
      <w:r>
        <w:t>3 工程任务和规模</w:t>
      </w:r>
    </w:p>
    <w:p>
      <w:pPr>
        <w:spacing w:line="360" w:lineRule="auto"/>
        <w:ind w:firstLine="420"/>
        <w:jc w:val="both"/>
      </w:pPr>
      <w:r>
        <w:t>新干枢纽以发电、航运为主，兼顾防洪与水资源配置。</w:t>
      </w:r>
    </w:p>
    <w:p>
      <w:pPr>
        <w:spacing w:line="360" w:lineRule="auto"/>
        <w:ind w:firstLine="420"/>
        <w:jc w:val="both"/>
      </w:pPr>
      <w:r>
        <w:t>工程规模论证的核心是设计洪水、库容与泄流能力、调度规则三项。</w:t>
      </w:r>
    </w:p>
    <w:p>
      <w:pPr>
        <w:spacing w:line="360" w:lineRule="auto"/>
        <w:ind w:firstLine="420"/>
        <w:jc w:val="both"/>
      </w:pPr>
      <w:r>
        <w:t>本章各节成果经专业间协调后确定。</w:t>
      </w:r>
    </w:p>
    <w:p>
      <w:pPr>
        <w:spacing w:line="360" w:lineRule="auto"/>
        <w:ind w:firstLine="420"/>
        <w:jc w:val="both"/>
      </w:pPr>
      <w:r>
        <w:t>各节成果的编制口径与第 2 章一致。</w:t>
      </w:r>
    </w:p>
    <w:p>
      <w:pPr>
        <w:pStyle w:val="Heading2"/>
      </w:pPr>
      <w:r>
        <w:t>3.1 设计洪水</w:t>
      </w:r>
    </w:p>
    <w:p>
      <w:pPr>
        <w:spacing w:line="360" w:lineRule="auto"/>
        <w:ind w:firstLine="420"/>
        <w:jc w:val="both"/>
      </w:pPr>
      <w:r>
        <w:t>设计洪水采用实测洪水系列排频计算，历史洪水按文献考证成果加入系列。</w:t>
      </w:r>
    </w:p>
    <w:p>
      <w:pPr>
        <w:spacing w:line="360" w:lineRule="auto"/>
        <w:ind w:firstLine="420"/>
        <w:jc w:val="both"/>
      </w:pPr>
      <w:r>
        <w:t>洪水系列采用 1953—2023 年共 71 年实测资料，另加入 2 场历史洪水。</w:t>
      </w:r>
    </w:p>
    <w:p>
      <w:pPr>
        <w:spacing w:line="360" w:lineRule="auto"/>
        <w:ind w:firstLine="420"/>
        <w:jc w:val="both"/>
      </w:pPr>
      <w:r>
        <w:t>历史洪水的洪峰流量按洪痕调查与水力学方法推算。</w:t>
      </w:r>
    </w:p>
    <w:p>
      <w:pPr>
        <w:spacing w:line="360" w:lineRule="auto"/>
        <w:ind w:firstLine="420"/>
        <w:jc w:val="both"/>
      </w:pPr>
      <w:r>
        <w:t>系列中的特大洪水按重现期作经验处理，并按规范要求进行连续性改正。</w:t>
      </w:r>
    </w:p>
    <w:p>
      <w:pPr>
        <w:spacing w:line="360" w:lineRule="auto"/>
        <w:ind w:firstLine="420"/>
        <w:jc w:val="both"/>
      </w:pPr>
      <w:r>
        <w:t>洪峰与各时段洪量采用同一典型年放大，成果相互匹配。</w:t>
      </w:r>
    </w:p>
    <w:p>
      <w:pPr>
        <w:spacing w:line="360" w:lineRule="auto"/>
        <w:ind w:firstLine="420"/>
        <w:jc w:val="both"/>
      </w:pPr>
      <w:r>
        <w:t>频率计算采用 P-Ⅲ 型曲线适线，参数以矩法与适线法结合确定。</w:t>
      </w:r>
    </w:p>
    <w:p>
      <w:pPr>
        <w:spacing w:line="360" w:lineRule="auto"/>
        <w:ind w:firstLine="420"/>
        <w:jc w:val="both"/>
      </w:pPr>
      <w:r>
        <w:t>频率曲线的统计参数采用目估适线，兼顾上下段点据。</w:t>
      </w:r>
    </w:p>
    <w:p>
      <w:pPr>
        <w:spacing w:line="360" w:lineRule="auto"/>
        <w:ind w:firstLine="420"/>
        <w:jc w:val="both"/>
      </w:pPr>
      <w:r>
        <w:t>设计断面的洪水成果按面积比指数法移用，指数取 0.7。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>
        <w:tc>
          <w:tcPr>
            <w:tcW w:type="dxa" w:w="8307"/>
            <w:gridSpan w:val="13"/>
          </w:tcPr>
          <w:p>
            <w:pPr>
              <w:jc w:val="center"/>
            </w:pPr>
            <w:r>
              <w:t>表3.1-1  设计洪水成果表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442</w:t>
            </w:r>
          </w:p>
        </w:tc>
      </w:tr>
    </w:tbl>
    <w:p>
      <w:pPr>
        <w:spacing w:line="360" w:lineRule="auto"/>
        <w:ind w:firstLine="420"/>
        <w:jc w:val="both"/>
      </w:pPr>
      <w:r>
        <w:t>设计洪水成果经与上下游梯级对比协调后确定，详见表3.1-1。</w:t>
      </w:r>
    </w:p>
    <w:p>
      <w:pPr>
        <w:spacing w:line="360" w:lineRule="auto"/>
        <w:ind w:firstLine="420"/>
        <w:jc w:val="both"/>
      </w:pPr>
      <w:r>
        <w:t>各频率设计洪水过程按典型年同倍比放大。</w:t>
      </w:r>
    </w:p>
    <w:p>
      <w:pPr>
        <w:spacing w:line="360" w:lineRule="auto"/>
        <w:ind w:firstLine="420"/>
        <w:jc w:val="both"/>
      </w:pPr>
      <w:r>
        <w:t>成果与邻站同期成果对比，峰量关系协调。</w:t>
      </w:r>
    </w:p>
    <w:p>
      <w:pPr>
        <w:spacing w:line="360" w:lineRule="auto"/>
        <w:ind w:firstLine="420"/>
        <w:jc w:val="both"/>
      </w:pPr>
      <w:r>
        <w:t>分期洪水按汛前、汛后两个分期分别计算。</w:t>
      </w:r>
    </w:p>
    <w:p>
      <w:pPr>
        <w:spacing w:line="360" w:lineRule="auto"/>
        <w:ind w:firstLine="420"/>
        <w:jc w:val="both"/>
      </w:pPr>
      <w:r>
        <w:t>分期的划分依据流域暴雨的时程分布特征。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>
        <w:tc>
          <w:tcPr>
            <w:tcW w:type="dxa" w:w="8307"/>
            <w:gridSpan w:val="13"/>
          </w:tcPr>
          <w:p>
            <w:pPr>
              <w:jc w:val="center"/>
            </w:pPr>
            <w:r>
              <w:t>表3.1-2  分期洪水成果表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442</w:t>
            </w:r>
          </w:p>
        </w:tc>
      </w:tr>
    </w:tbl>
    <w:p>
      <w:pPr>
        <w:spacing w:line="360" w:lineRule="auto"/>
        <w:ind w:firstLine="420"/>
        <w:jc w:val="both"/>
      </w:pPr>
      <w:r>
        <w:t>分期洪水成果用于施工期导流与初期蓄水安排。</w:t>
      </w:r>
    </w:p>
    <w:p>
      <w:pPr>
        <w:spacing w:line="360" w:lineRule="auto"/>
        <w:ind w:firstLine="420"/>
        <w:jc w:val="both"/>
      </w:pPr>
      <w:r>
        <w:t>汛前分期的洪水明显小于主汛期，可提高施工期度汛标准。</w:t>
      </w:r>
    </w:p>
    <w:p>
      <w:pPr>
        <w:spacing w:line="360" w:lineRule="auto"/>
        <w:ind w:firstLine="420"/>
        <w:jc w:val="both"/>
      </w:pPr>
      <w:r>
        <w:t>汛后分期的洪水过程对蓄水时机选择影响较大。</w:t>
      </w:r>
    </w:p>
    <w:p>
      <w:pPr>
        <w:spacing w:line="360" w:lineRule="auto"/>
        <w:ind w:firstLine="420"/>
        <w:jc w:val="both"/>
      </w:pPr>
      <w:r>
        <w:t>各频率成果均已按规范要求计及历史洪水的影响。</w:t>
      </w:r>
    </w:p>
    <w:p>
      <w:pPr>
        <w:spacing w:line="360" w:lineRule="auto"/>
        <w:ind w:firstLine="420"/>
        <w:jc w:val="both"/>
      </w:pPr>
      <w:r>
        <w:t>分期洪水的分期界限按暴雨季节划分，汛前为 4—6 月。</w:t>
      </w:r>
    </w:p>
    <w:p>
      <w:pPr>
        <w:spacing w:line="360" w:lineRule="auto"/>
        <w:ind w:firstLine="420"/>
        <w:jc w:val="both"/>
      </w:pPr>
      <w:r>
        <w:t>分期成果已考虑分期内的洪水遭遇情况。</w:t>
      </w:r>
    </w:p>
    <w:p>
      <w:pPr>
        <w:pStyle w:val="Heading2"/>
      </w:pPr>
      <w:r>
        <w:t>3.2 库容与泄流能力</w:t>
      </w:r>
    </w:p>
    <w:p>
      <w:pPr>
        <w:spacing w:line="360" w:lineRule="auto"/>
        <w:ind w:firstLine="420"/>
        <w:jc w:val="both"/>
      </w:pPr>
      <w:r>
        <w:t>库容曲线依据 1:2000 库区地形图量算，分层间距 0.5 m。</w:t>
      </w:r>
    </w:p>
    <w:p>
      <w:pPr>
        <w:spacing w:line="360" w:lineRule="auto"/>
        <w:ind w:firstLine="420"/>
        <w:jc w:val="both"/>
      </w:pPr>
      <w:r>
        <w:t>量算范围自坝址至库尾回水末端，支流库容单独计列。</w:t>
      </w:r>
    </w:p>
    <w:p>
      <w:pPr>
        <w:spacing w:line="360" w:lineRule="auto"/>
        <w:ind w:firstLine="420"/>
        <w:jc w:val="both"/>
      </w:pPr>
      <w:r>
        <w:t>量算成果已与上一阶段成果对比，偏差小于 3%。</w:t>
      </w:r>
    </w:p>
    <w:p>
      <w:pPr>
        <w:spacing w:line="360" w:lineRule="auto"/>
        <w:ind w:firstLine="420"/>
        <w:jc w:val="both"/>
      </w:pPr>
      <w:r>
        <w:t>库容曲线分高程列出面积与库容，便于插值使用。</w:t>
      </w:r>
    </w:p>
    <w:p>
      <w:pPr>
        <w:spacing w:line="360" w:lineRule="auto"/>
        <w:ind w:firstLine="420"/>
        <w:jc w:val="both"/>
      </w:pPr>
      <w:r>
        <w:t>库区地形图的比例尺与精度满足可研阶段要求。</w:t>
      </w:r>
    </w:p>
    <w:p>
      <w:pPr>
        <w:spacing w:line="360" w:lineRule="auto"/>
        <w:ind w:firstLine="420"/>
        <w:jc w:val="both"/>
      </w:pPr>
      <w:r>
        <w:t>库容成果已扣除库区已有的侵占部分。</w:t>
      </w:r>
    </w:p>
    <w:p>
      <w:pPr>
        <w:spacing w:line="360" w:lineRule="auto"/>
        <w:ind w:firstLine="0"/>
        <w:jc w:val="center"/>
      </w:pPr>
      <w:r>
        <w:t>表3.2-1  库容曲线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455</w:t>
            </w:r>
          </w:p>
        </w:tc>
      </w:tr>
    </w:tbl>
    <w:p>
      <w:pPr>
        <w:spacing w:line="360" w:lineRule="auto"/>
        <w:ind w:firstLine="420"/>
        <w:jc w:val="both"/>
      </w:pPr>
      <w:r>
        <w:t>泄流能力曲线按闸孔出流与堰流两种流态分别计算。</w:t>
      </w:r>
    </w:p>
    <w:p>
      <w:pPr>
        <w:spacing w:line="360" w:lineRule="auto"/>
        <w:ind w:firstLine="420"/>
        <w:jc w:val="both"/>
      </w:pPr>
      <w:r>
        <w:t>闸门全开时按堰流控制，局部开启时按闸孔出流控制。</w:t>
      </w:r>
    </w:p>
    <w:p>
      <w:pPr>
        <w:spacing w:line="360" w:lineRule="auto"/>
        <w:ind w:firstLine="420"/>
        <w:jc w:val="both"/>
      </w:pPr>
      <w:r>
        <w:t>泄流能力计算采用堰流与闸孔出流公式，系数取自规范。</w:t>
      </w:r>
    </w:p>
    <w:p>
      <w:pPr>
        <w:spacing w:line="360" w:lineRule="auto"/>
        <w:ind w:firstLine="420"/>
        <w:jc w:val="both"/>
      </w:pPr>
      <w:r>
        <w:t>闸门全开与局部开启两种工况分别给出泄流量。</w:t>
      </w:r>
    </w:p>
    <w:p>
      <w:pPr>
        <w:spacing w:line="360" w:lineRule="auto"/>
        <w:ind w:firstLine="0"/>
        <w:jc w:val="center"/>
      </w:pPr>
      <w:r>
        <w:t>表3.2-2  泄流能力曲线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455</w:t>
            </w:r>
          </w:p>
        </w:tc>
      </w:tr>
    </w:tbl>
    <w:p>
      <w:pPr>
        <w:spacing w:line="360" w:lineRule="auto"/>
        <w:ind w:firstLine="420"/>
        <w:jc w:val="both"/>
      </w:pPr>
      <w:r>
        <w:t>泄流能力规模按校核洪水位下泄量满足要求确定。</w:t>
      </w:r>
    </w:p>
    <w:p>
      <w:pPr>
        <w:spacing w:line="360" w:lineRule="auto"/>
        <w:ind w:firstLine="420"/>
        <w:jc w:val="both"/>
      </w:pPr>
      <w:r>
        <w:t>泄流建筑物的孔口尺寸与闸门型式已与金结专业核实。</w:t>
      </w:r>
    </w:p>
    <w:p>
      <w:pPr>
        <w:spacing w:line="360" w:lineRule="auto"/>
        <w:ind w:firstLine="420"/>
        <w:jc w:val="both"/>
      </w:pPr>
      <w:r>
        <w:t>曲线计算中糙率取 0.014，与模型试验成果基本一致。</w:t>
      </w:r>
    </w:p>
    <w:p>
      <w:pPr>
        <w:spacing w:line="360" w:lineRule="auto"/>
        <w:ind w:firstLine="420"/>
        <w:jc w:val="both"/>
      </w:pPr>
      <w:r>
        <w:t>泄流能力复核时采用设计洪水与校核洪水两种工况。</w:t>
      </w:r>
    </w:p>
    <w:p>
      <w:pPr>
        <w:spacing w:line="360" w:lineRule="auto"/>
        <w:ind w:firstLine="420"/>
        <w:jc w:val="both"/>
      </w:pPr>
      <w:r>
        <w:t>泄流能力曲线与库容曲线共同用于调洪演算。</w:t>
      </w:r>
    </w:p>
    <w:p>
      <w:pPr>
        <w:pStyle w:val="Heading2"/>
      </w:pPr>
      <w:r>
        <w:t>3.3 调度规则</w:t>
      </w:r>
    </w:p>
    <w:p>
      <w:pPr>
        <w:spacing w:line="360" w:lineRule="auto"/>
        <w:ind w:firstLine="420"/>
        <w:jc w:val="both"/>
      </w:pPr>
      <w:r>
        <w:t>水库调度遵循防洪优先、兴利服从防洪的原则。</w:t>
      </w:r>
    </w:p>
    <w:p>
      <w:pPr>
        <w:spacing w:line="360" w:lineRule="auto"/>
        <w:ind w:firstLine="420"/>
        <w:jc w:val="both"/>
      </w:pPr>
      <w:r>
        <w:t>调度规则按汛期、非汛期与特殊工况分别拟定。</w:t>
      </w:r>
    </w:p>
    <w:p>
      <w:pPr>
        <w:spacing w:line="360" w:lineRule="auto"/>
        <w:ind w:firstLine="420"/>
        <w:jc w:val="both"/>
      </w:pPr>
      <w:r>
        <w:t>调度规则的编制依据为现行调度规程与工程任务要求。</w:t>
      </w:r>
    </w:p>
    <w:p>
      <w:pPr>
        <w:spacing w:line="360" w:lineRule="auto"/>
        <w:ind w:firstLine="420"/>
        <w:jc w:val="both"/>
      </w:pPr>
      <w:r>
        <w:t>调度图按保证出力与防洪安全双目标编制。</w:t>
      </w:r>
    </w:p>
    <w:p>
      <w:pPr>
        <w:spacing w:line="360" w:lineRule="auto"/>
        <w:ind w:firstLine="420"/>
        <w:jc w:val="both"/>
      </w:pPr>
      <w:r>
        <w:t>汛期限制水位按防洪要求与兴利蓄水要求综合确定。</w:t>
      </w:r>
    </w:p>
    <w:p>
      <w:pPr>
        <w:spacing w:line="360" w:lineRule="auto"/>
        <w:ind w:firstLine="420"/>
        <w:jc w:val="both"/>
      </w:pPr>
      <w:r>
        <w:t>汛期限制水位以下预留防洪库容，汛末按计划蓄水。</w:t>
      </w:r>
    </w:p>
    <w:p>
      <w:pPr>
        <w:spacing w:line="360" w:lineRule="auto"/>
        <w:ind w:firstLine="0"/>
        <w:jc w:val="center"/>
      </w:pPr>
      <w:r>
        <w:t>表3.3-1  调度规则表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jc w:val="center"/>
            </w:pPr>
            <w:r>
              <w:t>时段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起调水位(m)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控制水位(m)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下泄流量(m³/s)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调度方式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备注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</w:tbl>
    <w:p>
      <w:pPr>
        <w:spacing w:line="360" w:lineRule="auto"/>
        <w:ind w:firstLine="420"/>
        <w:jc w:val="both"/>
      </w:pPr>
      <w:r>
        <w:t>各项规则的适用条件与下泄控制指标见表内数值，具体条文见表3.3-2。</w:t>
      </w:r>
    </w:p>
    <w:p>
      <w:pPr>
        <w:spacing w:line="360" w:lineRule="auto"/>
        <w:ind w:firstLine="420"/>
        <w:jc w:val="both"/>
      </w:pPr>
      <w:r>
        <w:t>特殊工况包括闸门故障、超标准洪水与生态应急调度。</w:t>
      </w:r>
    </w:p>
    <w:p>
      <w:pPr>
        <w:spacing w:line="360" w:lineRule="auto"/>
        <w:ind w:firstLine="420"/>
        <w:jc w:val="both"/>
      </w:pPr>
      <w:r>
        <w:t>各工况下的下泄流量按泄流能力曲线反算。</w:t>
      </w:r>
    </w:p>
    <w:p>
      <w:pPr>
        <w:spacing w:line="360" w:lineRule="auto"/>
        <w:ind w:firstLine="420"/>
        <w:jc w:val="both"/>
      </w:pPr>
      <w:r>
        <w:t>规则条文的编号与下泄流量分级一一对应。</w:t>
      </w:r>
    </w:p>
    <w:p>
      <w:pPr>
        <w:spacing w:line="360" w:lineRule="auto"/>
        <w:ind w:firstLine="0"/>
        <w:jc w:val="center"/>
      </w:pPr>
      <w:r>
        <w:t>表3.3-2  水库运行调度规则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t>编号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适用时段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控制条件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下泄流量(m³/s)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备注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</w:tbl>
    <w:p>
      <w:pPr>
        <w:spacing w:line="360" w:lineRule="auto"/>
        <w:ind w:firstLine="420"/>
        <w:jc w:val="both"/>
      </w:pPr>
      <w:r>
        <w:t>为满足表3.3-2的控制要求，泄流能力按上述曲线确定，相应坝前水位按水位流量关系内插。</w:t>
      </w:r>
    </w:p>
    <w:p>
      <w:pPr>
        <w:spacing w:line="360" w:lineRule="auto"/>
        <w:ind w:firstLine="420"/>
        <w:jc w:val="both"/>
      </w:pPr>
      <w:r>
        <w:t>内插计算采用分段线性方法，控制精度为 0.01 m。</w:t>
      </w:r>
    </w:p>
    <w:p>
      <w:pPr>
        <w:spacing w:line="360" w:lineRule="auto"/>
        <w:ind w:firstLine="420"/>
        <w:jc w:val="both"/>
      </w:pPr>
      <w:r>
        <w:t>泄流量的增量关系按水位分级统计，用于控制下泄流量。</w:t>
      </w:r>
    </w:p>
    <w:p>
      <w:pPr>
        <w:spacing w:line="360" w:lineRule="auto"/>
        <w:ind w:firstLine="0"/>
        <w:jc w:val="center"/>
      </w:pPr>
      <w:r>
        <w:t>表3.3-3  Q泄i-1与△Q关系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>
              <w:t>水位(m)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Q泄(m³/s)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△Q(m³/s)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备注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</w:tbl>
    <w:p>
      <w:pPr>
        <w:spacing w:line="360" w:lineRule="auto"/>
        <w:ind w:firstLine="420"/>
        <w:jc w:val="both"/>
      </w:pPr>
      <w:r>
        <w:t>增量关系用于调度图的下泄流量修正。</w:t>
      </w:r>
    </w:p>
    <w:p>
      <w:pPr>
        <w:spacing w:line="360" w:lineRule="auto"/>
        <w:ind w:firstLine="420"/>
        <w:jc w:val="both"/>
      </w:pPr>
      <w:r>
        <w:t>泄流能力复核按最新闸门尺寸与糙率取值进行。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8310"/>
            <w:gridSpan w:val="5"/>
          </w:tcPr>
          <w:p>
            <w:pPr>
              <w:jc w:val="center"/>
            </w:pPr>
            <w:r>
              <w:t>表3.3-3  泄流能力复核表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</w:tbl>
    <w:p>
      <w:pPr>
        <w:spacing w:line="360" w:lineRule="auto"/>
        <w:ind w:firstLine="420"/>
        <w:jc w:val="both"/>
      </w:pPr>
      <w:r>
        <w:t>复核成果与原设计成果基本一致，个别水位级差在 2% 以内。</w:t>
      </w:r>
    </w:p>
    <w:p>
      <w:pPr>
        <w:spacing w:line="360" w:lineRule="auto"/>
        <w:ind w:firstLine="420"/>
        <w:jc w:val="both"/>
      </w:pPr>
      <w:r>
        <w:t>水库特征水位按规范规定的荷载组合确定。</w:t>
      </w:r>
    </w:p>
    <w:p>
      <w:pPr>
        <w:spacing w:line="360" w:lineRule="auto"/>
        <w:ind w:firstLine="0"/>
        <w:jc w:val="center"/>
      </w:pPr>
      <w:r>
        <w:t>表3.3-4  水库特征水位表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jc w:val="center"/>
            </w:pPr>
            <w:r>
              <w:t>序号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特征水位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单位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数值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对应库容(亿m³)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备注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</w:tbl>
    <w:p>
      <w:pPr>
        <w:spacing w:line="360" w:lineRule="auto"/>
        <w:ind w:firstLine="420"/>
        <w:jc w:val="both"/>
      </w:pPr>
      <w:r>
        <w:t>特征水位成果作为大坝安全与库区淹没处理的依据。</w:t>
      </w:r>
    </w:p>
    <w:p>
      <w:pPr>
        <w:spacing w:line="360" w:lineRule="auto"/>
        <w:ind w:firstLine="420"/>
        <w:jc w:val="both"/>
      </w:pPr>
      <w:r>
        <w:t>调度规则在运行期应根据实测资料滚动修订。</w:t>
      </w:r>
    </w:p>
    <w:p>
      <w:pPr>
        <w:spacing w:line="360" w:lineRule="auto"/>
        <w:ind w:firstLine="420"/>
        <w:jc w:val="both"/>
      </w:pPr>
      <w:r>
        <w:t>规则条文的表述与运行单位的操作规程保持一致。</w:t>
      </w:r>
    </w:p>
    <w:p>
      <w:pPr>
        <w:spacing w:line="360" w:lineRule="auto"/>
        <w:ind w:firstLine="420"/>
        <w:jc w:val="both"/>
      </w:pPr>
      <w:r>
        <w:t>调度规则的修改须经主管部门批准后执行。</w:t>
      </w:r>
    </w:p>
    <w:p>
      <w:pPr>
        <w:spacing w:line="360" w:lineRule="auto"/>
        <w:ind w:firstLine="420"/>
        <w:jc w:val="both"/>
      </w:pPr>
      <w:r>
        <w:t>特征水位包括正常蓄水位、死水位、防洪高水位与校核洪水位。</w:t>
      </w:r>
    </w:p>
    <w:p>
      <w:pPr>
        <w:spacing w:line="360" w:lineRule="auto"/>
        <w:ind w:firstLine="420"/>
        <w:jc w:val="both"/>
      </w:pPr>
      <w:r>
        <w:t>各特征水位对应的库容已与库容曲线核对。</w:t>
      </w:r>
    </w:p>
    <w:p>
      <w:pPr>
        <w:spacing w:line="360" w:lineRule="auto"/>
        <w:ind w:firstLine="420"/>
        <w:jc w:val="both"/>
      </w:pPr>
      <w:r>
        <w:t>调度规则与特征水位成果共同构成运行调度的依据。</w:t>
      </w:r>
    </w:p>
    <w:p>
      <w:pPr>
        <w:pStyle w:val="Heading1"/>
      </w:pPr>
      <w:r>
        <w:t>4 结论</w:t>
      </w:r>
    </w:p>
    <w:p>
      <w:pPr>
        <w:spacing w:line="360" w:lineRule="auto"/>
        <w:ind w:firstLine="420"/>
        <w:jc w:val="both"/>
      </w:pPr>
      <w:r>
        <w:t>本章汇总工程量、投资与主要结论。</w:t>
      </w:r>
    </w:p>
    <w:p>
      <w:pPr>
        <w:spacing w:line="360" w:lineRule="auto"/>
        <w:ind w:firstLine="420"/>
        <w:jc w:val="both"/>
      </w:pPr>
      <w:r>
        <w:t>各项成果均按可行性研究阶段的深度要求编制。</w:t>
      </w:r>
    </w:p>
    <w:p>
      <w:pPr>
        <w:spacing w:line="360" w:lineRule="auto"/>
        <w:ind w:firstLine="420"/>
        <w:jc w:val="both"/>
      </w:pPr>
      <w:r>
        <w:t>投资估算的价格水平年与工程量计算口径一致。</w:t>
      </w:r>
    </w:p>
    <w:p>
      <w:pPr>
        <w:pStyle w:val="Heading2"/>
      </w:pPr>
      <w:r>
        <w:t>4.1 工程量与投资</w:t>
      </w:r>
    </w:p>
    <w:p>
      <w:pPr>
        <w:spacing w:line="360" w:lineRule="auto"/>
        <w:ind w:firstLine="420"/>
        <w:jc w:val="both"/>
      </w:pPr>
      <w:r>
        <w:t>工程量按建筑工程、机电设备及安装工程、金属结构设备及安装工程、临时工程四部分计列。</w:t>
      </w:r>
    </w:p>
    <w:p>
      <w:pPr>
        <w:spacing w:line="360" w:lineRule="auto"/>
        <w:ind w:firstLine="420"/>
        <w:jc w:val="both"/>
      </w:pPr>
      <w:r>
        <w:t>工程量计算依据为水工专业提供的单体工程量与施工组织设计。</w:t>
      </w:r>
    </w:p>
    <w:p>
      <w:pPr>
        <w:spacing w:line="360" w:lineRule="auto"/>
        <w:ind w:firstLine="420"/>
        <w:jc w:val="both"/>
      </w:pPr>
      <w:r>
        <w:t>建筑工程量按分部分项计列，土石方按自然方与压实方分别统计。</w:t>
      </w:r>
    </w:p>
    <w:p>
      <w:pPr>
        <w:spacing w:line="360" w:lineRule="auto"/>
        <w:ind w:firstLine="420"/>
        <w:jc w:val="both"/>
      </w:pPr>
      <w:r>
        <w:t>机电设备及安装工程量按台套计列，安装费按设备原价的百分比计取。</w:t>
      </w:r>
    </w:p>
    <w:p>
      <w:pPr>
        <w:spacing w:line="360" w:lineRule="auto"/>
        <w:ind w:firstLine="420"/>
        <w:jc w:val="both"/>
      </w:pPr>
      <w:r>
        <w:t>各分部工程量按单位与数量分别统计，计量单位与概算定额一致。</w:t>
      </w:r>
    </w:p>
    <w:p>
      <w:pPr>
        <w:spacing w:line="360" w:lineRule="auto"/>
        <w:ind w:firstLine="420"/>
        <w:jc w:val="both"/>
      </w:pPr>
      <w:r>
        <w:t>金属结构设备及安装工程量按吨位计列。</w:t>
      </w:r>
    </w:p>
    <w:p>
      <w:pPr>
        <w:spacing w:line="360" w:lineRule="auto"/>
        <w:ind w:firstLine="420"/>
        <w:jc w:val="both"/>
      </w:pPr>
      <w:r>
        <w:t>临时工程量包括导流工程、施工交通与施工房屋建筑。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8310"/>
            <w:gridSpan w:val="5"/>
          </w:tcPr>
          <w:p>
            <w:pPr>
              <w:jc w:val="center"/>
            </w:pPr>
            <w:r>
              <w:t>表4.1-1  工程量汇总表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</w:tbl>
    <w:p>
      <w:pPr>
        <w:spacing w:line="360" w:lineRule="auto"/>
        <w:ind w:firstLine="420"/>
        <w:jc w:val="both"/>
      </w:pPr>
      <w:r>
        <w:t>汇总工程量与各专业提供的成果一致，未计列重复项目。</w:t>
      </w:r>
    </w:p>
    <w:p>
      <w:pPr>
        <w:spacing w:line="360" w:lineRule="auto"/>
        <w:ind w:firstLine="420"/>
        <w:jc w:val="both"/>
      </w:pPr>
      <w:r>
        <w:t>汇总表中的合计数量与各分部成果逐项核对。</w:t>
      </w:r>
    </w:p>
    <w:p>
      <w:pPr>
        <w:spacing w:line="360" w:lineRule="auto"/>
        <w:ind w:firstLine="420"/>
        <w:jc w:val="both"/>
      </w:pPr>
      <w:r>
        <w:t>投资估算按 2024 年第二季度价格水平编制。</w:t>
      </w:r>
    </w:p>
    <w:p>
      <w:pPr>
        <w:spacing w:line="360" w:lineRule="auto"/>
        <w:ind w:firstLine="420"/>
        <w:jc w:val="both"/>
      </w:pPr>
      <w:r>
        <w:t>投资估算由建筑工程费、机电设备及安装工程费、金属结构设备及安装工程费、临时工程费与其他费用构成。</w:t>
      </w:r>
    </w:p>
    <w:p>
      <w:pPr>
        <w:spacing w:line="360" w:lineRule="auto"/>
        <w:ind w:firstLine="420"/>
        <w:jc w:val="both"/>
      </w:pPr>
      <w:r>
        <w:t>其他费用包括建设管理费、生产准备费与科研勘测设计费。</w:t>
      </w:r>
    </w:p>
    <w:p>
      <w:pPr>
        <w:spacing w:line="360" w:lineRule="auto"/>
        <w:ind w:firstLine="420"/>
        <w:jc w:val="both"/>
      </w:pPr>
      <w:r>
        <w:t>建筑工程按扩大指标法估算，机电与金结设备按厂家询价计取。</w:t>
      </w:r>
    </w:p>
    <w:p>
      <w:pPr>
        <w:spacing w:line="360" w:lineRule="auto"/>
        <w:ind w:firstLine="0"/>
        <w:jc w:val="center"/>
      </w:pPr>
      <w:r>
        <w:t>表4.1-2  投资估算表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jc w:val="center"/>
            </w:pPr>
            <w:r>
              <w:t>序号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单位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单价(元)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合价(万元)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</w:tbl>
    <w:p>
      <w:pPr>
        <w:spacing w:line="360" w:lineRule="auto"/>
        <w:ind w:firstLine="420"/>
        <w:jc w:val="both"/>
      </w:pPr>
      <w:r>
        <w:t>投资估算成果与工程量汇总成果相互对应，如表4.1-2所列。</w:t>
      </w:r>
    </w:p>
    <w:p>
      <w:pPr>
        <w:spacing w:line="360" w:lineRule="auto"/>
        <w:ind w:firstLine="420"/>
        <w:jc w:val="both"/>
      </w:pPr>
      <w:r>
        <w:t>基本预备费按工程费用的 5% 计取，价差预备费按现行规定不计。</w:t>
      </w:r>
    </w:p>
    <w:p>
      <w:pPr>
        <w:spacing w:line="360" w:lineRule="auto"/>
        <w:ind w:firstLine="420"/>
        <w:jc w:val="both"/>
      </w:pPr>
      <w:r>
        <w:t>建设期利息与生产准备费在下一阶段投资中计列。</w:t>
      </w:r>
    </w:p>
    <w:p>
      <w:pPr>
        <w:spacing w:line="360" w:lineRule="auto"/>
        <w:ind w:firstLine="420"/>
        <w:jc w:val="both"/>
      </w:pPr>
      <w:r>
        <w:t>估算成果已与同类工程指标进行类比分析。</w:t>
      </w:r>
    </w:p>
    <w:p>
      <w:pPr>
        <w:pStyle w:val="Heading2"/>
      </w:pPr>
      <w:r>
        <w:t>4.2 结论</w:t>
      </w:r>
    </w:p>
    <w:p>
      <w:pPr>
        <w:spacing w:line="360" w:lineRule="auto"/>
        <w:ind w:firstLine="420"/>
        <w:jc w:val="both"/>
      </w:pPr>
      <w:r>
        <w:t>经水文、规模与投资三方面论证，新干枢纽扩容工程在技术经济上可行。</w:t>
      </w:r>
    </w:p>
    <w:p>
      <w:pPr>
        <w:spacing w:line="360" w:lineRule="auto"/>
        <w:ind w:firstLine="420"/>
        <w:jc w:val="both"/>
      </w:pPr>
      <w:r>
        <w:t>工程建成后可增加年发电量约 3.6 亿 kW·h。</w:t>
      </w:r>
    </w:p>
    <w:p>
      <w:pPr>
        <w:spacing w:line="360" w:lineRule="auto"/>
        <w:ind w:firstLine="420"/>
        <w:jc w:val="both"/>
      </w:pPr>
      <w:r>
        <w:t>枢纽建成后可改善上游航道条件约 28 km。</w:t>
      </w:r>
    </w:p>
    <w:p>
      <w:pPr>
        <w:spacing w:line="360" w:lineRule="auto"/>
        <w:ind w:firstLine="420"/>
        <w:jc w:val="both"/>
      </w:pPr>
      <w:r>
        <w:t>防洪方面可提高下游保护区的防洪标准。</w:t>
      </w:r>
    </w:p>
    <w:p>
      <w:pPr>
        <w:spacing w:line="360" w:lineRule="auto"/>
        <w:ind w:firstLine="420"/>
        <w:jc w:val="both"/>
      </w:pPr>
      <w:r>
        <w:t>各项工程量与投资汇总如表中数据所示，其中投资估算与表4.1-2所列成果一致，各分部工程的单位与数量已逐项复核。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>
        <w:tc>
          <w:tcPr>
            <w:tcW w:type="dxa" w:w="639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t>单位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t>建筑工程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t>机电设备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t>金属结构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t>临时工程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t>备注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t>复核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t>审核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t>批准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t>日期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199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299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312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325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329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338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349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351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359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364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369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377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379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390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399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409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416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419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429</w:t>
            </w:r>
          </w:p>
        </w:tc>
      </w:tr>
      <w:tr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432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433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434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435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436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437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438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439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440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441</w:t>
            </w:r>
          </w:p>
        </w:tc>
        <w:tc>
          <w:tcPr>
            <w:tcW w:type="dxa" w:w="639"/>
          </w:tcPr>
          <w:p>
            <w:pPr>
              <w:jc w:val="center"/>
            </w:pPr>
            <w:r>
              <w:rPr>
                <w:sz w:val="18"/>
              </w:rPr>
              <w:t>442</w:t>
            </w:r>
          </w:p>
        </w:tc>
      </w:tr>
    </w:tbl>
    <w:p>
      <w:pPr>
        <w:spacing w:line="360" w:lineRule="auto"/>
        <w:ind w:firstLine="420"/>
        <w:jc w:val="both"/>
      </w:pPr>
      <w:r>
        <w:t>上述汇总成果不含建设期利息与生产准备费。</w:t>
      </w:r>
    </w:p>
    <w:p>
      <w:pPr>
        <w:spacing w:line="360" w:lineRule="auto"/>
        <w:ind w:firstLine="420"/>
        <w:jc w:val="both"/>
      </w:pPr>
      <w:r>
        <w:t>主要结论与相关章节成果的对照关系见表内数值。</w:t>
      </w:r>
    </w:p>
    <w:p>
      <w:pPr>
        <w:spacing w:line="360" w:lineRule="auto"/>
        <w:ind w:firstLine="0"/>
        <w:jc w:val="center"/>
      </w:pPr>
      <w:r>
        <w:t>表4.2-1  结论对照表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t>序号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结论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依据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备注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</w:tbl>
    <w:p>
      <w:pPr>
        <w:spacing w:line="360" w:lineRule="auto"/>
        <w:ind w:firstLine="420"/>
        <w:jc w:val="both"/>
      </w:pPr>
      <w:r>
        <w:t>结论对照表中各项指标均满足可研阶段的深度要求。</w:t>
      </w:r>
    </w:p>
    <w:p>
      <w:pPr>
        <w:spacing w:line="360" w:lineRule="auto"/>
        <w:ind w:firstLine="420"/>
        <w:jc w:val="both"/>
      </w:pPr>
      <w:r>
        <w:t>结论对照表中各项指标的口径与相关章节一致。</w:t>
      </w:r>
    </w:p>
    <w:p>
      <w:pPr>
        <w:spacing w:line="360" w:lineRule="auto"/>
        <w:ind w:firstLine="420"/>
        <w:jc w:val="both"/>
      </w:pPr>
      <w:r>
        <w:t>下一阶段应结合施工组织设计进一步复核工程量。</w:t>
      </w:r>
    </w:p>
    <w:p>
      <w:pPr>
        <w:spacing w:line="360" w:lineRule="auto"/>
        <w:ind w:firstLine="420"/>
        <w:jc w:val="both"/>
      </w:pPr>
      <w:r>
        <w:t>工程的防洪、发电、航运效益均较显著。</w:t>
      </w:r>
    </w:p>
    <w:p>
      <w:pPr>
        <w:spacing w:line="360" w:lineRule="auto"/>
        <w:ind w:firstLine="420"/>
        <w:jc w:val="both"/>
      </w:pPr>
      <w:r>
        <w:t>建议下阶段补充库区淹没调查与移民安置规划工作。</w:t>
      </w:r>
    </w:p>
    <w:p>
      <w:pPr>
        <w:spacing w:line="360" w:lineRule="auto"/>
        <w:ind w:firstLine="420"/>
        <w:jc w:val="both"/>
      </w:pPr>
      <w:r>
        <w:t>建议下阶段开展水工模型试验，验证泄流能力。</w:t>
      </w:r>
    </w:p>
    <w:p>
      <w:pPr>
        <w:spacing w:line="360" w:lineRule="auto"/>
        <w:ind w:firstLine="420"/>
        <w:jc w:val="both"/>
      </w:pPr>
      <w:r>
        <w:t>建议同步开展环境影响评价与水土保持方案编制。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captions 回归语料</dc:title>
  <dc:subject/>
  <dc:creator>fixture-dev</dc:creator>
  <cp:keywords/>
  <dc:description>generated by python-docx</dc:description>
  <cp:lastModifiedBy>fixture-dev</cp:lastModifiedBy>
  <cp:revision>1</cp:revision>
  <dcterms:created xsi:type="dcterms:W3CDTF">2026-01-01T00:00:00Z</dcterms:created>
  <dcterms:modified xsi:type="dcterms:W3CDTF">2026-01-01T00:00:00Z</dcterms:modified>
  <cp:category/>
</cp:coreProperties>
</file>