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jc w:val="center"/>
      </w:pPr>
      <w:r>
        <w:rPr>
          <w:rFonts w:ascii="Arial" w:cs="Arial" w:eastAsia="Arial" w:hAnsi="Arial"/>
          <w:caps/>
          <w:color w:val="9945FF"/>
          <w:sz w:val="20"/>
          <w:szCs w:val="20"/>
        </w:rPr>
        <w:t xml:space="preserve">GRANT PROPOSAL</w:t>
      </w:r>
    </w:p>
    <w:p>
      <w:pPr>
        <w:spacing w:after="160"/>
        <w:jc w:val="center"/>
      </w:pPr>
      <w:r>
        <w:rPr>
          <w:rFonts w:ascii="Arial" w:cs="Arial" w:eastAsia="Arial" w:hAnsi="Arial"/>
          <w:b/>
          <w:bCs/>
          <w:color w:val="1A1A2E"/>
          <w:sz w:val="48"/>
          <w:szCs w:val="48"/>
        </w:rPr>
        <w:t xml:space="preserve">Solana Validator Health Dashboard</w:t>
      </w:r>
    </w:p>
    <w:p>
      <w:pPr>
        <w:spacing w:after="480"/>
        <w:jc w:val="center"/>
      </w:pPr>
      <w:r>
        <w:rPr>
          <w:rFonts w:ascii="Arial" w:cs="Arial" w:eastAsia="Arial" w:hAnsi="Arial"/>
          <w:i/>
          <w:iCs/>
          <w:color w:val="666666"/>
          <w:sz w:val="24"/>
          <w:szCs w:val="24"/>
        </w:rPr>
        <w:t xml:space="preserve">Open-Source Rust Monitoring &amp; Alerting Infrastructure for Solana Validators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945FF"/>
                <w:sz w:val="22"/>
                <w:szCs w:val="22"/>
              </w:rPr>
              <w:t xml:space="preserve">Author</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2"/>
                <w:szCs w:val="22"/>
              </w:rPr>
              <w:t xml:space="preserve">Marchel Penchev</w:t>
            </w:r>
          </w:p>
        </w:tc>
      </w:tr>
      <w:tr>
        <w:tc>
          <w:tcPr>
            <w:tcW w:type="dxa" w:w="2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945FF"/>
                <w:sz w:val="22"/>
                <w:szCs w:val="22"/>
              </w:rPr>
              <w:t xml:space="preserve">Grant Program</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2"/>
                <w:szCs w:val="22"/>
              </w:rPr>
              <w:t xml:space="preserve">Solana Foundation Grants</w:t>
            </w:r>
          </w:p>
        </w:tc>
      </w:tr>
      <w:tr>
        <w:tc>
          <w:tcPr>
            <w:tcW w:type="dxa" w:w="2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945FF"/>
                <w:sz w:val="22"/>
                <w:szCs w:val="22"/>
              </w:rPr>
              <w:t xml:space="preserve">Category</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2"/>
                <w:szCs w:val="22"/>
              </w:rPr>
              <w:t xml:space="preserve">Validator &amp; Node Infrastructure</w:t>
            </w:r>
          </w:p>
        </w:tc>
      </w:tr>
      <w:tr>
        <w:tc>
          <w:tcPr>
            <w:tcW w:type="dxa" w:w="2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945FF"/>
                <w:sz w:val="22"/>
                <w:szCs w:val="22"/>
              </w:rPr>
              <w:t xml:space="preserve">Funding Request</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945FF"/>
                <w:sz w:val="24"/>
                <w:szCs w:val="24"/>
              </w:rPr>
              <w:t xml:space="preserve">$24,000 USD</w:t>
            </w:r>
          </w:p>
        </w:tc>
      </w:tr>
      <w:tr>
        <w:tc>
          <w:tcPr>
            <w:tcW w:type="dxa" w:w="2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945FF"/>
                <w:sz w:val="22"/>
                <w:szCs w:val="22"/>
              </w:rPr>
              <w:t xml:space="preserve">Timeline</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2"/>
                <w:szCs w:val="22"/>
              </w:rPr>
              <w:t xml:space="preserve">6 months</w:t>
            </w:r>
          </w:p>
        </w:tc>
      </w:tr>
      <w:tr>
        <w:tc>
          <w:tcPr>
            <w:tcW w:type="dxa" w:w="2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945FF"/>
                <w:sz w:val="22"/>
                <w:szCs w:val="22"/>
              </w:rPr>
              <w:t xml:space="preserve">Repository</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0070C0"/>
                <w:sz w:val="20"/>
                <w:szCs w:val="20"/>
              </w:rPr>
              <w:t xml:space="preserve">github.com/mrnobody/solana-validator-health</w:t>
            </w:r>
          </w:p>
        </w:tc>
      </w:tr>
    </w:tbl>
    <w:p>
      <w:r>
        <w:br w:type="page"/>
      </w:r>
    </w:p>
    <w:p>
      <w:pPr>
        <w:pStyle w:val="Heading1"/>
        <w:pBdr>
          <w:bottom w:val="single" w:color="9945FF" w:sz="4" w:space="6"/>
        </w:pBdr>
        <w:spacing w:before="360" w:after="180"/>
      </w:pPr>
      <w:r>
        <w:rPr>
          <w:rFonts w:ascii="Arial" w:cs="Arial" w:eastAsia="Arial" w:hAnsi="Arial"/>
          <w:b/>
          <w:bCs/>
          <w:color w:val="1A1A2E"/>
          <w:sz w:val="32"/>
          <w:szCs w:val="32"/>
        </w:rPr>
        <w:t xml:space="preserve">1. Executive Summary</w:t>
      </w:r>
    </w:p>
    <w:p>
      <w:pPr>
        <w:spacing w:after="140"/>
      </w:pPr>
      <w:r>
        <w:rPr>
          <w:rFonts w:ascii="Arial" w:cs="Arial" w:eastAsia="Arial" w:hAnsi="Arial"/>
          <w:color w:val="1A1A2E"/>
          <w:sz w:val="22"/>
          <w:szCs w:val="22"/>
        </w:rPr>
        <w:t xml:space="preserve">Solana Validator Health Dashboard is an open-source Rust-based monitoring and alerting platform designed specifically for Solana validator operators and RPC node administrators. The project fills a critical operational gap in the Solana ecosystem: the absence of a lightweight, self-hosted, production-grade monitoring tool that combines on-chain validator telemetry with host-level infrastructure metrics.</w:t>
      </w:r>
    </w:p>
    <w:p>
      <w:pPr>
        <w:spacing w:after="1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00"/>
              <w:bottom w:type="dxa" w:w="160"/>
              <w:right w:type="dxa" w:w="200"/>
            </w:tcMar>
          </w:tcPr>
          <w:p>
            <w:r>
              <w:rPr>
                <w:rFonts w:ascii="Arial" w:cs="Arial" w:eastAsia="Arial" w:hAnsi="Arial"/>
                <w:i/>
                <w:iCs/>
                <w:color w:val="1A1A2E"/>
                <w:sz w:val="22"/>
                <w:szCs w:val="22"/>
              </w:rPr>
              <w:t xml:space="preserve">The tool currently delivers real-time validator delinquency detection, slot lag monitoring, RPC health analysis, a Prometheus-compatible metrics exporter, and a composite health scoring engine — all from a single Rust binary with no external database dependency.</w:t>
            </w:r>
          </w:p>
        </w:tc>
      </w:tr>
    </w:tbl>
    <w:p>
      <w:pPr>
        <w:spacing w:after="140"/>
      </w:pPr>
      <w:r>
        <w:rPr>
          <w:rFonts w:ascii="Arial" w:cs="Arial" w:eastAsia="Arial" w:hAnsi="Arial"/>
          <w:color w:val="1A1A2E"/>
          <w:sz w:val="22"/>
          <w:szCs w:val="22"/>
        </w:rPr>
        <w:t xml:space="preserve"/>
      </w:r>
    </w:p>
    <w:p>
      <w:pPr>
        <w:spacing w:after="140"/>
      </w:pPr>
      <w:r>
        <w:rPr>
          <w:rFonts w:ascii="Arial" w:cs="Arial" w:eastAsia="Arial" w:hAnsi="Arial"/>
          <w:color w:val="1A1A2E"/>
          <w:sz w:val="22"/>
          <w:szCs w:val="22"/>
        </w:rPr>
        <w:t xml:space="preserve">This grant will fund the development of v0.3 through v0.5, completing the alerting pipeline (email, Discord, Telegram), an embedded web dashboard, historical metrics storage, and a Grafana dashboard bundle — making the tool a complete operational stack for validator operators.</w:t>
      </w:r>
    </w:p>
    <w:p>
      <w:pPr>
        <w:pStyle w:val="Heading1"/>
        <w:pBdr>
          <w:bottom w:val="single" w:color="9945FF" w:sz="4" w:space="6"/>
        </w:pBdr>
        <w:spacing w:before="360" w:after="180"/>
      </w:pPr>
      <w:r>
        <w:rPr>
          <w:rFonts w:ascii="Arial" w:cs="Arial" w:eastAsia="Arial" w:hAnsi="Arial"/>
          <w:b/>
          <w:bCs/>
          <w:color w:val="1A1A2E"/>
          <w:sz w:val="32"/>
          <w:szCs w:val="32"/>
        </w:rPr>
        <w:t xml:space="preserve">2. Problem Statement</w:t>
      </w:r>
    </w:p>
    <w:p>
      <w:pPr>
        <w:pStyle w:val="Heading2"/>
        <w:spacing w:before="280" w:after="140"/>
      </w:pPr>
      <w:r>
        <w:rPr>
          <w:rFonts w:ascii="Arial" w:cs="Arial" w:eastAsia="Arial" w:hAnsi="Arial"/>
          <w:b/>
          <w:bCs/>
          <w:color w:val="9945FF"/>
          <w:sz w:val="26"/>
          <w:szCs w:val="26"/>
        </w:rPr>
        <w:t xml:space="preserve">2.1 Validator Reliability Is a Decentralization Problem</w:t>
      </w:r>
    </w:p>
    <w:p>
      <w:pPr>
        <w:spacing w:after="140"/>
      </w:pPr>
      <w:r>
        <w:rPr>
          <w:rFonts w:ascii="Arial" w:cs="Arial" w:eastAsia="Arial" w:hAnsi="Arial"/>
          <w:color w:val="1A1A2E"/>
          <w:sz w:val="22"/>
          <w:szCs w:val="22"/>
        </w:rPr>
        <w:t xml:space="preserve">Solana's throughput depends on a healthy, responsive validator set. Delinquent or lagging validators reduce the network's effective capacity, contribute to missed blocks, and can trigger stake penalties under the Foundation's Delegation Program criteria. Yet many validators — particularly independent operators and those in under-resourced regions — lack the tooling to detect problems early.</w:t>
      </w:r>
    </w:p>
    <w:p>
      <w:pPr>
        <w:pStyle w:val="Heading2"/>
        <w:spacing w:before="280" w:after="140"/>
      </w:pPr>
      <w:r>
        <w:rPr>
          <w:rFonts w:ascii="Arial" w:cs="Arial" w:eastAsia="Arial" w:hAnsi="Arial"/>
          <w:b/>
          <w:bCs/>
          <w:color w:val="9945FF"/>
          <w:sz w:val="26"/>
          <w:szCs w:val="26"/>
        </w:rPr>
        <w:t xml:space="preserve">2.2 Existing Solutions Are Inadequate</w:t>
      </w:r>
    </w:p>
    <w:p>
      <w:pPr>
        <w:pStyle w:val="ListParagraph"/>
        <w:numPr>
          <w:ilvl w:val="0"/>
          <w:numId w:val="2"/>
        </w:numPr>
        <w:spacing w:after="80"/>
      </w:pPr>
      <w:r>
        <w:rPr>
          <w:rFonts w:ascii="Arial" w:cs="Arial" w:eastAsia="Arial" w:hAnsi="Arial"/>
          <w:color w:val="1A1A2E"/>
          <w:sz w:val="22"/>
          <w:szCs w:val="22"/>
        </w:rPr>
        <w:t xml:space="preserve">Solana Beach and similar block explorers provide historical data but no real-time alerting.</w:t>
      </w:r>
    </w:p>
    <w:p>
      <w:pPr>
        <w:pStyle w:val="ListParagraph"/>
        <w:numPr>
          <w:ilvl w:val="0"/>
          <w:numId w:val="2"/>
        </w:numPr>
        <w:spacing w:after="80"/>
      </w:pPr>
      <w:r>
        <w:rPr>
          <w:rFonts w:ascii="Arial" w:cs="Arial" w:eastAsia="Arial" w:hAnsi="Arial"/>
          <w:color w:val="1A1A2E"/>
          <w:sz w:val="22"/>
          <w:szCs w:val="22"/>
        </w:rPr>
        <w:t xml:space="preserve">Commercial monitoring products (Datadog, New Relic) are expensive and require significant configuration for Solana-specific metrics.</w:t>
      </w:r>
    </w:p>
    <w:p>
      <w:pPr>
        <w:pStyle w:val="ListParagraph"/>
        <w:numPr>
          <w:ilvl w:val="0"/>
          <w:numId w:val="2"/>
        </w:numPr>
        <w:spacing w:after="80"/>
      </w:pPr>
      <w:r>
        <w:rPr>
          <w:rFonts w:ascii="Arial" w:cs="Arial" w:eastAsia="Arial" w:hAnsi="Arial"/>
          <w:color w:val="1A1A2E"/>
          <w:sz w:val="22"/>
          <w:szCs w:val="22"/>
        </w:rPr>
        <w:t xml:space="preserve">The official solana-validator CLI provides some status, but lacks continuous monitoring, alerting, or historical trending.</w:t>
      </w:r>
    </w:p>
    <w:p>
      <w:pPr>
        <w:pStyle w:val="ListParagraph"/>
        <w:numPr>
          <w:ilvl w:val="0"/>
          <w:numId w:val="2"/>
        </w:numPr>
        <w:spacing w:after="80"/>
      </w:pPr>
      <w:r>
        <w:rPr>
          <w:rFonts w:ascii="Arial" w:cs="Arial" w:eastAsia="Arial" w:hAnsi="Arial"/>
          <w:color w:val="1A1A2E"/>
          <w:sz w:val="22"/>
          <w:szCs w:val="22"/>
        </w:rPr>
        <w:t xml:space="preserve">No open-source, self-hosted tool exists that combines on-chain validator state with host system metrics in a Prometheus-compatible format.</w:t>
      </w:r>
    </w:p>
    <w:p>
      <w:pPr>
        <w:spacing w:after="140"/>
      </w:pPr>
      <w:r>
        <w:rPr>
          <w:rFonts w:ascii="Arial" w:cs="Arial" w:eastAsia="Arial" w:hAnsi="Arial"/>
          <w:color w:val="1A1A2E"/>
          <w:sz w:val="22"/>
          <w:szCs w:val="22"/>
        </w:rPr>
        <w:t xml:space="preserve"/>
      </w:r>
    </w:p>
    <w:p>
      <w:pPr>
        <w:pStyle w:val="Heading2"/>
        <w:spacing w:before="280" w:after="140"/>
      </w:pPr>
      <w:r>
        <w:rPr>
          <w:rFonts w:ascii="Arial" w:cs="Arial" w:eastAsia="Arial" w:hAnsi="Arial"/>
          <w:b/>
          <w:bCs/>
          <w:color w:val="9945FF"/>
          <w:sz w:val="26"/>
          <w:szCs w:val="26"/>
        </w:rPr>
        <w:t xml:space="preserve">2.3 Impact on the Ecosystem</w:t>
      </w:r>
    </w:p>
    <w:p>
      <w:pPr>
        <w:spacing w:after="140"/>
      </w:pPr>
      <w:r>
        <w:rPr>
          <w:rFonts w:ascii="Arial" w:cs="Arial" w:eastAsia="Arial" w:hAnsi="Arial"/>
          <w:color w:val="1A1A2E"/>
          <w:sz w:val="22"/>
          <w:szCs w:val="22"/>
        </w:rPr>
        <w:t xml:space="preserve">When validators go delinquent without the operator knowing, it harms the entire ecosystem: delegators lose rewards, skip rates rise, and Foundation delegation eligibility is impacted. A freely available, well-maintained monitoring tool directly improves Solana's network resilience and supports the Foundation's decentralization goals.</w:t>
      </w:r>
    </w:p>
    <w:p>
      <w:pPr>
        <w:pStyle w:val="Heading1"/>
        <w:pBdr>
          <w:bottom w:val="single" w:color="9945FF" w:sz="4" w:space="6"/>
        </w:pBdr>
        <w:spacing w:before="360" w:after="180"/>
      </w:pPr>
      <w:r>
        <w:rPr>
          <w:rFonts w:ascii="Arial" w:cs="Arial" w:eastAsia="Arial" w:hAnsi="Arial"/>
          <w:b/>
          <w:bCs/>
          <w:color w:val="1A1A2E"/>
          <w:sz w:val="32"/>
          <w:szCs w:val="32"/>
        </w:rPr>
        <w:t xml:space="preserve">3. Solution</w:t>
      </w:r>
    </w:p>
    <w:p>
      <w:pPr>
        <w:pStyle w:val="Heading2"/>
        <w:spacing w:before="280" w:after="140"/>
      </w:pPr>
      <w:r>
        <w:rPr>
          <w:rFonts w:ascii="Arial" w:cs="Arial" w:eastAsia="Arial" w:hAnsi="Arial"/>
          <w:b/>
          <w:bCs/>
          <w:color w:val="9945FF"/>
          <w:sz w:val="26"/>
          <w:szCs w:val="26"/>
        </w:rPr>
        <w:t xml:space="preserve">3.1 Architecture Overview</w:t>
      </w:r>
    </w:p>
    <w:p>
      <w:pPr>
        <w:spacing w:after="140"/>
      </w:pPr>
      <w:r>
        <w:rPr>
          <w:rFonts w:ascii="Arial" w:cs="Arial" w:eastAsia="Arial" w:hAnsi="Arial"/>
          <w:color w:val="1A1A2E"/>
          <w:sz w:val="22"/>
          <w:szCs w:val="22"/>
        </w:rPr>
        <w:t xml:space="preserve">Solana Validator Health Dashboard is a single Rust binary that runs alongside the validator or on a separate monitoring host. It connects to a configurable RPC endpoint, polls on-chain state via the JSON-RPC API, collects host system metrics, scores validator health, and exposes everything via Prometheus — all within a configurable polling interval (default: 30 seconds).</w:t>
      </w:r>
    </w:p>
    <w:p>
      <w:pPr>
        <w:pStyle w:val="Heading2"/>
        <w:spacing w:before="280" w:after="140"/>
      </w:pPr>
      <w:r>
        <w:rPr>
          <w:rFonts w:ascii="Arial" w:cs="Arial" w:eastAsia="Arial" w:hAnsi="Arial"/>
          <w:b/>
          <w:bCs/>
          <w:color w:val="9945FF"/>
          <w:sz w:val="26"/>
          <w:szCs w:val="26"/>
        </w:rPr>
        <w:t xml:space="preserve">3.2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716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Responsibility</w:t>
            </w:r>
          </w:p>
        </w:tc>
      </w:tr>
      <w:tr>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Courier New" w:cs="Courier New" w:eastAsia="Courier New" w:hAnsi="Courier New"/>
                <w:b/>
                <w:bCs/>
                <w:color w:val="9945FF"/>
                <w:sz w:val="20"/>
                <w:szCs w:val="20"/>
              </w:rPr>
              <w:t xml:space="preserve">rpc.rs</w:t>
            </w:r>
          </w:p>
        </w:tc>
        <w:tc>
          <w:tcPr>
            <w:tcW w:type="dxa" w:w="71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Parallel async JSON-RPC calls (getHealth, getEpochInfo, getVoteAccounts, getSlot)</w:t>
            </w:r>
          </w:p>
        </w:tc>
      </w:tr>
      <w:tr>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Courier New" w:cs="Courier New" w:eastAsia="Courier New" w:hAnsi="Courier New"/>
                <w:b/>
                <w:bCs/>
                <w:color w:val="9945FF"/>
                <w:sz w:val="20"/>
                <w:szCs w:val="20"/>
              </w:rPr>
              <w:t xml:space="preserve">analyzer.rs</w:t>
            </w:r>
          </w:p>
        </w:tc>
        <w:tc>
          <w:tcPr>
            <w:tcW w:type="dxa" w:w="71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Delinquency detection, slot lag analysis, health score computation, alert generation</w:t>
            </w:r>
          </w:p>
        </w:tc>
      </w:tr>
      <w:tr>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Courier New" w:cs="Courier New" w:eastAsia="Courier New" w:hAnsi="Courier New"/>
                <w:b/>
                <w:bCs/>
                <w:color w:val="9945FF"/>
                <w:sz w:val="20"/>
                <w:szCs w:val="20"/>
              </w:rPr>
              <w:t xml:space="preserve">metrics.rs</w:t>
            </w:r>
          </w:p>
        </w:tc>
        <w:tc>
          <w:tcPr>
            <w:tcW w:type="dxa" w:w="71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System metrics collection (CPU/RAM/disk) + Prometheus gauge registry</w:t>
            </w:r>
          </w:p>
        </w:tc>
      </w:tr>
      <w:tr>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Courier New" w:cs="Courier New" w:eastAsia="Courier New" w:hAnsi="Courier New"/>
                <w:b/>
                <w:bCs/>
                <w:color w:val="9945FF"/>
                <w:sz w:val="20"/>
                <w:szCs w:val="20"/>
              </w:rPr>
              <w:t xml:space="preserve">prometheus_server.rs</w:t>
            </w:r>
          </w:p>
        </w:tc>
        <w:tc>
          <w:tcPr>
            <w:tcW w:type="dxa" w:w="71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Lightweight hyper HTTP server exposing /metrics and /health</w:t>
            </w:r>
          </w:p>
        </w:tc>
      </w:tr>
      <w:tr>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Courier New" w:cs="Courier New" w:eastAsia="Courier New" w:hAnsi="Courier New"/>
                <w:b/>
                <w:bCs/>
                <w:color w:val="9945FF"/>
                <w:sz w:val="20"/>
                <w:szCs w:val="20"/>
              </w:rPr>
              <w:t xml:space="preserve">display.rs</w:t>
            </w:r>
          </w:p>
        </w:tc>
        <w:tc>
          <w:tcPr>
            <w:tcW w:type="dxa" w:w="71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ANSI terminal dashboard with color-coded status indicators</w:t>
            </w:r>
          </w:p>
        </w:tc>
      </w:tr>
      <w:tr>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Courier New" w:cs="Courier New" w:eastAsia="Courier New" w:hAnsi="Courier New"/>
                <w:b/>
                <w:bCs/>
                <w:color w:val="9945FF"/>
                <w:sz w:val="20"/>
                <w:szCs w:val="20"/>
              </w:rPr>
              <w:t xml:space="preserve">models.rs</w:t>
            </w:r>
          </w:p>
        </w:tc>
        <w:tc>
          <w:tcPr>
            <w:tcW w:type="dxa" w:w="71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Typed structs for all RPC responses and configuration</w:t>
            </w:r>
          </w:p>
        </w:tc>
      </w:tr>
    </w:tbl>
    <w:p>
      <w:pPr>
        <w:spacing w:after="140"/>
      </w:pPr>
      <w:r>
        <w:rPr>
          <w:rFonts w:ascii="Arial" w:cs="Arial" w:eastAsia="Arial" w:hAnsi="Arial"/>
          <w:color w:val="1A1A2E"/>
          <w:sz w:val="22"/>
          <w:szCs w:val="22"/>
        </w:rPr>
        <w:t xml:space="preserve"/>
      </w:r>
    </w:p>
    <w:p>
      <w:pPr>
        <w:pStyle w:val="Heading2"/>
        <w:spacing w:before="280" w:after="140"/>
      </w:pPr>
      <w:r>
        <w:rPr>
          <w:rFonts w:ascii="Arial" w:cs="Arial" w:eastAsia="Arial" w:hAnsi="Arial"/>
          <w:b/>
          <w:bCs/>
          <w:color w:val="9945FF"/>
          <w:sz w:val="26"/>
          <w:szCs w:val="26"/>
        </w:rPr>
        <w:t xml:space="preserve">3.3 Health Scoring Engine</w:t>
      </w:r>
    </w:p>
    <w:p>
      <w:pPr>
        <w:spacing w:after="140"/>
      </w:pPr>
      <w:r>
        <w:rPr>
          <w:rFonts w:ascii="Arial" w:cs="Arial" w:eastAsia="Arial" w:hAnsi="Arial"/>
          <w:color w:val="1A1A2E"/>
          <w:sz w:val="22"/>
          <w:szCs w:val="22"/>
        </w:rPr>
        <w:t xml:space="preserve">The health score is a composite 0–100 metric computed from multiple weighted factors: RPC health and latency, validator delinquency status, slot lag relative to network tip, and host resource utilization (CPU, memory, disk). This produces a single actionable metric operators can monitor and threshold-alert on, analogous to an uptime SLA.</w:t>
      </w:r>
    </w:p>
    <w:p>
      <w:pPr>
        <w:pStyle w:val="Heading2"/>
        <w:spacing w:before="280" w:after="140"/>
      </w:pPr>
      <w:r>
        <w:rPr>
          <w:rFonts w:ascii="Arial" w:cs="Arial" w:eastAsia="Arial" w:hAnsi="Arial"/>
          <w:b/>
          <w:bCs/>
          <w:color w:val="9945FF"/>
          <w:sz w:val="26"/>
          <w:szCs w:val="26"/>
        </w:rPr>
        <w:t xml:space="preserve">3.4 Prometheus Integration</w:t>
      </w:r>
    </w:p>
    <w:p>
      <w:pPr>
        <w:spacing w:after="140"/>
      </w:pPr>
      <w:r>
        <w:rPr>
          <w:rFonts w:ascii="Arial" w:cs="Arial" w:eastAsia="Arial" w:hAnsi="Arial"/>
          <w:color w:val="1A1A2E"/>
          <w:sz w:val="22"/>
          <w:szCs w:val="22"/>
        </w:rPr>
        <w:t xml:space="preserve">With prometheus_enabled = true, the dashboard exposes a /metrics HTTP endpoint fully compatible with Prometheus scraping. This enables operators to plug directly into existing Grafana stacks with zero additional infrastructure. Twelve distinct metrics are exported, covering every critical dimension of validator health.</w:t>
      </w:r>
    </w:p>
    <w:p>
      <w:r>
        <w:br w:type="page"/>
      </w:r>
    </w:p>
    <w:p>
      <w:pPr>
        <w:pStyle w:val="Heading1"/>
        <w:pBdr>
          <w:bottom w:val="single" w:color="9945FF" w:sz="4" w:space="6"/>
        </w:pBdr>
        <w:spacing w:before="360" w:after="180"/>
      </w:pPr>
      <w:r>
        <w:rPr>
          <w:rFonts w:ascii="Arial" w:cs="Arial" w:eastAsia="Arial" w:hAnsi="Arial"/>
          <w:b/>
          <w:bCs/>
          <w:color w:val="1A1A2E"/>
          <w:sz w:val="32"/>
          <w:szCs w:val="32"/>
        </w:rPr>
        <w:t xml:space="preserve">4. Development Roadmap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360"/>
        <w:gridCol w:w="1300"/>
        <w:gridCol w:w="1300"/>
      </w:tblGrid>
      <w:tr>
        <w:trPr>
          <w:tblHeader/>
        </w:trPr>
        <w:tc>
          <w:tcPr>
            <w:tcW w:type="dxa" w:w="6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8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Milestone</w:t>
            </w:r>
          </w:p>
        </w:tc>
        <w:tc>
          <w:tcPr>
            <w:tcW w:type="dxa" w:w="336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Deliverables</w:t>
            </w:r>
          </w:p>
        </w:tc>
        <w:tc>
          <w:tcPr>
            <w:tcW w:type="dxa" w:w="13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Duration</w:t>
            </w:r>
          </w:p>
        </w:tc>
        <w:tc>
          <w:tcPr>
            <w:tcW w:type="dxa" w:w="13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Budget</w:t>
            </w:r>
          </w:p>
        </w:tc>
      </w:tr>
      <w:tr>
        <w:tc>
          <w:tcPr>
            <w:tcW w:type="dxa" w:w="6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M1</w:t>
            </w:r>
          </w:p>
        </w:tc>
        <w:tc>
          <w:tcPr>
            <w:tcW w:type="dxa" w:w="280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A1A2E"/>
                <w:sz w:val="22"/>
                <w:szCs w:val="22"/>
              </w:rPr>
              <w:t xml:space="preserve">Alert Delivery Pipeline</w:t>
            </w:r>
          </w:p>
        </w:tc>
        <w:tc>
          <w:tcPr>
            <w:tcW w:type="dxa" w:w="33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Email (SMTP), Discord webhook, Telegram bot integration; configurable alert rules; alert deduplication</w:t>
            </w:r>
          </w:p>
        </w:tc>
        <w:tc>
          <w:tcPr>
            <w:tcW w:type="dxa" w:w="130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6 weeks</w:t>
            </w:r>
          </w:p>
        </w:tc>
        <w:tc>
          <w:tcPr>
            <w:tcW w:type="dxa" w:w="1300"/>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$6,000</w:t>
            </w:r>
          </w:p>
        </w:tc>
      </w:tr>
      <w:tr>
        <w:tc>
          <w:tcPr>
            <w:tcW w:type="dxa" w:w="6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M2</w:t>
            </w:r>
          </w:p>
        </w:tc>
        <w:tc>
          <w:tcPr>
            <w:tcW w:type="dxa" w:w="280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A1A2E"/>
                <w:sz w:val="22"/>
                <w:szCs w:val="22"/>
              </w:rPr>
              <w:t xml:space="preserve">Embedded Web Dashboard</w:t>
            </w:r>
          </w:p>
        </w:tc>
        <w:tc>
          <w:tcPr>
            <w:tcW w:type="dxa" w:w="33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axum-based HTTP server; real-time HTML dashboard (htmx); epoch progress bar; vote credit chart</w:t>
            </w:r>
          </w:p>
        </w:tc>
        <w:tc>
          <w:tcPr>
            <w:tcW w:type="dxa" w:w="130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6 weeks</w:t>
            </w:r>
          </w:p>
        </w:tc>
        <w:tc>
          <w:tcPr>
            <w:tcW w:type="dxa" w:w="1300"/>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$7,000</w:t>
            </w:r>
          </w:p>
        </w:tc>
      </w:tr>
      <w:tr>
        <w:tc>
          <w:tcPr>
            <w:tcW w:type="dxa" w:w="6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M3</w:t>
            </w:r>
          </w:p>
        </w:tc>
        <w:tc>
          <w:tcPr>
            <w:tcW w:type="dxa" w:w="280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A1A2E"/>
                <w:sz w:val="22"/>
                <w:szCs w:val="22"/>
              </w:rPr>
              <w:t xml:space="preserve">Historical Metrics &amp; Trending</w:t>
            </w:r>
          </w:p>
        </w:tc>
        <w:tc>
          <w:tcPr>
            <w:tcW w:type="dxa" w:w="33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SQLite time-series storage; epoch-by-epoch performance history; credit score trends; 30/90-day charts</w:t>
            </w:r>
          </w:p>
        </w:tc>
        <w:tc>
          <w:tcPr>
            <w:tcW w:type="dxa" w:w="130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5 weeks</w:t>
            </w:r>
          </w:p>
        </w:tc>
        <w:tc>
          <w:tcPr>
            <w:tcW w:type="dxa" w:w="1300"/>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$6,000</w:t>
            </w:r>
          </w:p>
        </w:tc>
      </w:tr>
      <w:tr>
        <w:tc>
          <w:tcPr>
            <w:tcW w:type="dxa" w:w="6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M4</w:t>
            </w:r>
          </w:p>
        </w:tc>
        <w:tc>
          <w:tcPr>
            <w:tcW w:type="dxa" w:w="280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A1A2E"/>
                <w:sz w:val="22"/>
                <w:szCs w:val="22"/>
              </w:rPr>
              <w:t xml:space="preserve">Grafana Bundle &amp; Documentation</w:t>
            </w:r>
          </w:p>
        </w:tc>
        <w:tc>
          <w:tcPr>
            <w:tcW w:type="dxa" w:w="33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Pre-built Grafana dashboard JSON; alert panel; full operator docs; Docker Compose stack</w:t>
            </w:r>
          </w:p>
        </w:tc>
        <w:tc>
          <w:tcPr>
            <w:tcW w:type="dxa" w:w="130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3 weeks</w:t>
            </w:r>
          </w:p>
        </w:tc>
        <w:tc>
          <w:tcPr>
            <w:tcW w:type="dxa" w:w="1300"/>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$3,000</w:t>
            </w:r>
          </w:p>
        </w:tc>
      </w:tr>
      <w:tr>
        <w:tc>
          <w:tcPr>
            <w:tcW w:type="dxa" w:w="6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M5</w:t>
            </w:r>
          </w:p>
        </w:tc>
        <w:tc>
          <w:tcPr>
            <w:tcW w:type="dxa" w:w="280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A1A2E"/>
                <w:sz w:val="22"/>
                <w:szCs w:val="22"/>
              </w:rPr>
              <w:t xml:space="preserve">Multi-Validator &amp; Skip Rate Analysis</w:t>
            </w:r>
          </w:p>
        </w:tc>
        <w:tc>
          <w:tcPr>
            <w:tcW w:type="dxa" w:w="33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Monitor multiple validators from one instance; skip rate calculation; epoch reward estimation</w:t>
            </w:r>
          </w:p>
        </w:tc>
        <w:tc>
          <w:tcPr>
            <w:tcW w:type="dxa" w:w="130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4 weeks</w:t>
            </w:r>
          </w:p>
        </w:tc>
        <w:tc>
          <w:tcPr>
            <w:tcW w:type="dxa" w:w="1300"/>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$2,000</w:t>
            </w:r>
          </w:p>
        </w:tc>
      </w:tr>
      <w:tr>
        <w:tc>
          <w:tcPr>
            <w:tcW w:type="dxa" w:w="6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r>
              <w:rPr>
                <w:rFonts w:ascii="Arial" w:cs="Arial" w:eastAsia="Arial" w:hAnsi="Arial"/>
                <w:sz w:val="22"/>
                <w:szCs w:val="22"/>
              </w:rPr>
              <w:t xml:space="preserve"/>
            </w:r>
          </w:p>
        </w:tc>
        <w:tc>
          <w:tcPr>
            <w:tcW w:type="dxa" w:w="28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r>
              <w:rPr>
                <w:rFonts w:ascii="Arial" w:cs="Arial" w:eastAsia="Arial" w:hAnsi="Arial"/>
                <w:b/>
                <w:bCs/>
                <w:color w:val="FFFFFF"/>
                <w:sz w:val="24"/>
                <w:szCs w:val="24"/>
              </w:rPr>
              <w:t xml:space="preserve">TOTAL</w:t>
            </w:r>
          </w:p>
        </w:tc>
        <w:tc>
          <w:tcPr>
            <w:tcW w:type="dxa" w:w="336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r>
              <w:rPr>
                <w:rFonts w:ascii="Arial" w:cs="Arial" w:eastAsia="Arial" w:hAnsi="Arial"/>
                <w:color w:val="FFFFFF"/>
                <w:sz w:val="22"/>
                <w:szCs w:val="22"/>
              </w:rPr>
              <w:t xml:space="preserve">5 milestones</w:t>
            </w:r>
          </w:p>
        </w:tc>
        <w:tc>
          <w:tcPr>
            <w:tcW w:type="dxa" w:w="13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color w:val="FFFFFF"/>
                <w:sz w:val="22"/>
                <w:szCs w:val="22"/>
              </w:rPr>
              <w:t xml:space="preserve">6 months</w:t>
            </w:r>
          </w:p>
        </w:tc>
        <w:tc>
          <w:tcPr>
            <w:tcW w:type="dxa" w:w="13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$24,000</w:t>
            </w:r>
          </w:p>
        </w:tc>
      </w:tr>
    </w:tbl>
    <w:p>
      <w:pPr>
        <w:spacing w:after="140"/>
      </w:pPr>
      <w:r>
        <w:rPr>
          <w:rFonts w:ascii="Arial" w:cs="Arial" w:eastAsia="Arial" w:hAnsi="Arial"/>
          <w:color w:val="1A1A2E"/>
          <w:sz w:val="22"/>
          <w:szCs w:val="22"/>
        </w:rPr>
        <w:t xml:space="preserve"/>
      </w:r>
    </w:p>
    <w:p>
      <w:pPr>
        <w:pStyle w:val="Heading1"/>
        <w:pBdr>
          <w:bottom w:val="single" w:color="9945FF" w:sz="4" w:space="6"/>
        </w:pBdr>
        <w:spacing w:before="360" w:after="180"/>
      </w:pPr>
      <w:r>
        <w:rPr>
          <w:rFonts w:ascii="Arial" w:cs="Arial" w:eastAsia="Arial" w:hAnsi="Arial"/>
          <w:b/>
          <w:bCs/>
          <w:color w:val="1A1A2E"/>
          <w:sz w:val="32"/>
          <w:szCs w:val="32"/>
        </w:rPr>
        <w:t xml:space="preserve">5. Budget Justification</w:t>
      </w:r>
    </w:p>
    <w:p>
      <w:pPr>
        <w:pStyle w:val="Heading2"/>
        <w:spacing w:before="280" w:after="140"/>
      </w:pPr>
      <w:r>
        <w:rPr>
          <w:rFonts w:ascii="Arial" w:cs="Arial" w:eastAsia="Arial" w:hAnsi="Arial"/>
          <w:b/>
          <w:bCs/>
          <w:color w:val="9945FF"/>
          <w:sz w:val="26"/>
          <w:szCs w:val="26"/>
        </w:rPr>
        <w:t xml:space="preserve">5.1 Development Hours Breakdown</w:t>
      </w:r>
    </w:p>
    <w:p>
      <w:pPr>
        <w:spacing w:after="140"/>
      </w:pPr>
      <w:r>
        <w:rPr>
          <w:rFonts w:ascii="Arial" w:cs="Arial" w:eastAsia="Arial" w:hAnsi="Arial"/>
          <w:color w:val="1A1A2E"/>
          <w:sz w:val="22"/>
          <w:szCs w:val="22"/>
        </w:rPr>
        <w:t xml:space="preserve">The $24,000 budget is structured around a solo developer rate of $60/hour, which is below market for senior Rust engineers (typical $80–$120/hour for blockchain infrastructure). The total represents approximately 400 development hours over 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Budget Item</w:t>
            </w:r>
          </w:p>
        </w:tc>
        <w:tc>
          <w:tcPr>
            <w:tcW w:type="dxa" w:w="234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Hours</w:t>
            </w:r>
          </w:p>
        </w:tc>
        <w:tc>
          <w:tcPr>
            <w:tcW w:type="dxa" w:w="234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Cost</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Alert delivery (email/Discord/Telegram)</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60 hrs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b/>
                <w:bCs/>
                <w:color w:val="9945FF"/>
                <w:sz w:val="20"/>
                <w:szCs w:val="20"/>
              </w:rPr>
              <w:t xml:space="preserve">$3,600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Web dashboard (axum + htmx)</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80 hrs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b/>
                <w:bCs/>
                <w:color w:val="9945FF"/>
                <w:sz w:val="20"/>
                <w:szCs w:val="20"/>
              </w:rPr>
              <w:t xml:space="preserve">$4,800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Historical metrics (SQLite schema + queries)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70 hrs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b/>
                <w:bCs/>
                <w:color w:val="9945FF"/>
                <w:sz w:val="20"/>
                <w:szCs w:val="20"/>
              </w:rPr>
              <w:t xml:space="preserve">$4,200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Grafana dashboard + alert panels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40 hrs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b/>
                <w:bCs/>
                <w:color w:val="9945FF"/>
                <w:sz w:val="20"/>
                <w:szCs w:val="20"/>
              </w:rPr>
              <w:t xml:space="preserve">$2,400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Multi-validator &amp; skip rate analysis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60 hrs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b/>
                <w:bCs/>
                <w:color w:val="9945FF"/>
                <w:sz w:val="20"/>
                <w:szCs w:val="20"/>
              </w:rPr>
              <w:t xml:space="preserve">$3,600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Documentation, tests, CI/CD pipeline</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50 hrs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b/>
                <w:bCs/>
                <w:color w:val="9945FF"/>
                <w:sz w:val="20"/>
                <w:szCs w:val="20"/>
              </w:rPr>
              <w:t xml:space="preserve">$3,000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Infrastructure &amp; tooling costs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b/>
                <w:bCs/>
                <w:color w:val="9945FF"/>
                <w:sz w:val="20"/>
                <w:szCs w:val="20"/>
              </w:rPr>
              <w:t xml:space="preserve">$2,400</w:t>
            </w:r>
          </w:p>
        </w:tc>
      </w:tr>
    </w:tbl>
    <w:p>
      <w:pPr>
        <w:spacing w:after="140"/>
      </w:pPr>
      <w:r>
        <w:rPr>
          <w:rFonts w:ascii="Arial" w:cs="Arial" w:eastAsia="Arial" w:hAnsi="Arial"/>
          <w:color w:val="1A1A2E"/>
          <w:sz w:val="22"/>
          <w:szCs w:val="22"/>
        </w:rPr>
        <w:t xml:space="preserve"/>
      </w:r>
    </w:p>
    <w:p>
      <w:pPr>
        <w:pStyle w:val="Heading1"/>
        <w:pBdr>
          <w:bottom w:val="single" w:color="9945FF" w:sz="4" w:space="6"/>
        </w:pBdr>
        <w:spacing w:before="360" w:after="180"/>
      </w:pPr>
      <w:r>
        <w:rPr>
          <w:rFonts w:ascii="Arial" w:cs="Arial" w:eastAsia="Arial" w:hAnsi="Arial"/>
          <w:b/>
          <w:bCs/>
          <w:color w:val="1A1A2E"/>
          <w:sz w:val="32"/>
          <w:szCs w:val="32"/>
        </w:rPr>
        <w:t xml:space="preserve">6. Ecosystem Impact &amp; Alignment</w:t>
      </w:r>
    </w:p>
    <w:p>
      <w:pPr>
        <w:pStyle w:val="Heading2"/>
        <w:spacing w:before="280" w:after="140"/>
      </w:pPr>
      <w:r>
        <w:rPr>
          <w:rFonts w:ascii="Arial" w:cs="Arial" w:eastAsia="Arial" w:hAnsi="Arial"/>
          <w:b/>
          <w:bCs/>
          <w:color w:val="9945FF"/>
          <w:sz w:val="26"/>
          <w:szCs w:val="26"/>
        </w:rPr>
        <w:t xml:space="preserve">6.1 Alignment with Solana Foundation Goals</w:t>
      </w:r>
    </w:p>
    <w:p>
      <w:pPr>
        <w:pStyle w:val="ListParagraph"/>
        <w:numPr>
          <w:ilvl w:val="0"/>
          <w:numId w:val="2"/>
        </w:numPr>
        <w:spacing w:after="80"/>
      </w:pPr>
      <w:r>
        <w:rPr>
          <w:rFonts w:ascii="Arial" w:cs="Arial" w:eastAsia="Arial" w:hAnsi="Arial"/>
          <w:color w:val="1A1A2E"/>
          <w:sz w:val="22"/>
          <w:szCs w:val="22"/>
        </w:rPr>
        <w:t xml:space="preserve">Decentralization: Lowers the technical barrier for independent validators to maintain high uptime and quality metrics, supporting the Foundation's goal of a diverse, globally distributed validator set.</w:t>
      </w:r>
    </w:p>
    <w:p>
      <w:pPr>
        <w:pStyle w:val="ListParagraph"/>
        <w:numPr>
          <w:ilvl w:val="0"/>
          <w:numId w:val="2"/>
        </w:numPr>
        <w:spacing w:after="80"/>
      </w:pPr>
      <w:r>
        <w:rPr>
          <w:rFonts w:ascii="Arial" w:cs="Arial" w:eastAsia="Arial" w:hAnsi="Arial"/>
          <w:color w:val="1A1A2E"/>
          <w:sz w:val="22"/>
          <w:szCs w:val="22"/>
        </w:rPr>
        <w:t xml:space="preserve">Reliability: Early delinquency detection directly reduces skip rates and missed blocks, improving network throughput and finality.</w:t>
      </w:r>
    </w:p>
    <w:p>
      <w:pPr>
        <w:pStyle w:val="ListParagraph"/>
        <w:numPr>
          <w:ilvl w:val="0"/>
          <w:numId w:val="2"/>
        </w:numPr>
        <w:spacing w:after="80"/>
      </w:pPr>
      <w:r>
        <w:rPr>
          <w:rFonts w:ascii="Arial" w:cs="Arial" w:eastAsia="Arial" w:hAnsi="Arial"/>
          <w:color w:val="1A1A2E"/>
          <w:sz w:val="22"/>
          <w:szCs w:val="22"/>
        </w:rPr>
        <w:t xml:space="preserve">Open source: MIT-licensed, freely deployable by any validator operator, RPC provider, or infrastructure team.</w:t>
      </w:r>
    </w:p>
    <w:p>
      <w:pPr>
        <w:pStyle w:val="ListParagraph"/>
        <w:numPr>
          <w:ilvl w:val="0"/>
          <w:numId w:val="2"/>
        </w:numPr>
        <w:spacing w:after="80"/>
      </w:pPr>
      <w:r>
        <w:rPr>
          <w:rFonts w:ascii="Arial" w:cs="Arial" w:eastAsia="Arial" w:hAnsi="Arial"/>
          <w:color w:val="1A1A2E"/>
          <w:sz w:val="22"/>
          <w:szCs w:val="22"/>
        </w:rPr>
        <w:t xml:space="preserve">Delegation Program: Helps validators maintain the performance metrics required for Foundation delegation eligibility, supporting the program's effectiveness.</w:t>
      </w:r>
    </w:p>
    <w:p>
      <w:pPr>
        <w:spacing w:after="140"/>
      </w:pPr>
      <w:r>
        <w:rPr>
          <w:rFonts w:ascii="Arial" w:cs="Arial" w:eastAsia="Arial" w:hAnsi="Arial"/>
          <w:color w:val="1A1A2E"/>
          <w:sz w:val="22"/>
          <w:szCs w:val="22"/>
        </w:rPr>
        <w:t xml:space="preserve"/>
      </w:r>
    </w:p>
    <w:p>
      <w:pPr>
        <w:pStyle w:val="Heading2"/>
        <w:spacing w:before="280" w:after="140"/>
      </w:pPr>
      <w:r>
        <w:rPr>
          <w:rFonts w:ascii="Arial" w:cs="Arial" w:eastAsia="Arial" w:hAnsi="Arial"/>
          <w:b/>
          <w:bCs/>
          <w:color w:val="9945FF"/>
          <w:sz w:val="26"/>
          <w:szCs w:val="26"/>
        </w:rPr>
        <w:t xml:space="preserve">6.2 Target Users</w:t>
      </w:r>
    </w:p>
    <w:p>
      <w:pPr>
        <w:pStyle w:val="ListParagraph"/>
        <w:numPr>
          <w:ilvl w:val="0"/>
          <w:numId w:val="2"/>
        </w:numPr>
        <w:spacing w:after="80"/>
      </w:pPr>
      <w:r>
        <w:rPr>
          <w:rFonts w:ascii="Arial" w:cs="Arial" w:eastAsia="Arial" w:hAnsi="Arial"/>
          <w:color w:val="1A1A2E"/>
          <w:sz w:val="22"/>
          <w:szCs w:val="22"/>
        </w:rPr>
        <w:t xml:space="preserve">~2,000+ active Solana validators (mainnet + testnet) — all are direct beneficiaries.</w:t>
      </w:r>
    </w:p>
    <w:p>
      <w:pPr>
        <w:pStyle w:val="ListParagraph"/>
        <w:numPr>
          <w:ilvl w:val="0"/>
          <w:numId w:val="2"/>
        </w:numPr>
        <w:spacing w:after="80"/>
      </w:pPr>
      <w:r>
        <w:rPr>
          <w:rFonts w:ascii="Arial" w:cs="Arial" w:eastAsia="Arial" w:hAnsi="Arial"/>
          <w:color w:val="1A1A2E"/>
          <w:sz w:val="22"/>
          <w:szCs w:val="22"/>
        </w:rPr>
        <w:t xml:space="preserve">RPC node operators running dedicated infrastructure.</w:t>
      </w:r>
    </w:p>
    <w:p>
      <w:pPr>
        <w:pStyle w:val="ListParagraph"/>
        <w:numPr>
          <w:ilvl w:val="0"/>
          <w:numId w:val="2"/>
        </w:numPr>
        <w:spacing w:after="80"/>
      </w:pPr>
      <w:r>
        <w:rPr>
          <w:rFonts w:ascii="Arial" w:cs="Arial" w:eastAsia="Arial" w:hAnsi="Arial"/>
          <w:color w:val="1A1A2E"/>
          <w:sz w:val="22"/>
          <w:szCs w:val="22"/>
        </w:rPr>
        <w:t xml:space="preserve">Staking pools and delegators who want operator-level visibility into their chosen validators.</w:t>
      </w:r>
    </w:p>
    <w:p>
      <w:pPr>
        <w:pStyle w:val="ListParagraph"/>
        <w:numPr>
          <w:ilvl w:val="0"/>
          <w:numId w:val="2"/>
        </w:numPr>
        <w:spacing w:after="80"/>
      </w:pPr>
      <w:r>
        <w:rPr>
          <w:rFonts w:ascii="Arial" w:cs="Arial" w:eastAsia="Arial" w:hAnsi="Arial"/>
          <w:color w:val="1A1A2E"/>
          <w:sz w:val="22"/>
          <w:szCs w:val="22"/>
        </w:rPr>
        <w:t xml:space="preserve">Ecosystem monitoring services who can consume Prometheus metrics.</w:t>
      </w:r>
    </w:p>
    <w:p>
      <w:pPr>
        <w:spacing w:after="140"/>
      </w:pPr>
      <w:r>
        <w:rPr>
          <w:rFonts w:ascii="Arial" w:cs="Arial" w:eastAsia="Arial" w:hAnsi="Arial"/>
          <w:color w:val="1A1A2E"/>
          <w:sz w:val="22"/>
          <w:szCs w:val="22"/>
        </w:rPr>
        <w:t xml:space="preserve"/>
      </w:r>
    </w:p>
    <w:p>
      <w:pPr>
        <w:pStyle w:val="Heading2"/>
        <w:spacing w:before="280" w:after="140"/>
      </w:pPr>
      <w:r>
        <w:rPr>
          <w:rFonts w:ascii="Arial" w:cs="Arial" w:eastAsia="Arial" w:hAnsi="Arial"/>
          <w:b/>
          <w:bCs/>
          <w:color w:val="9945FF"/>
          <w:sz w:val="26"/>
          <w:szCs w:val="26"/>
        </w:rPr>
        <w:t xml:space="preserve">6.3 Why This Is Fundable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00"/>
              <w:bottom w:type="dxa" w:w="160"/>
              <w:right w:type="dxa" w:w="200"/>
            </w:tcMar>
          </w:tcPr>
          <w:p>
            <w:r>
              <w:rPr>
                <w:rFonts w:ascii="Arial" w:cs="Arial" w:eastAsia="Arial" w:hAnsi="Arial"/>
                <w:i/>
                <w:iCs/>
                <w:color w:val="1A1A2E"/>
                <w:sz w:val="22"/>
                <w:szCs w:val="22"/>
              </w:rPr>
              <w:t xml:space="preserve">The Solana Foundation has historically funded validator tooling, operator education, and infrastructure that benefits the network without generating direct token revenue. This project fits squarely in that category: it is public goods infrastructure with zero monetization intent, maintained open-source, and directly measurable in terms of validator uptime improvement.</w:t>
            </w:r>
          </w:p>
        </w:tc>
      </w:tr>
    </w:tbl>
    <w:p>
      <w:pPr>
        <w:spacing w:after="140"/>
      </w:pPr>
      <w:r>
        <w:rPr>
          <w:rFonts w:ascii="Arial" w:cs="Arial" w:eastAsia="Arial" w:hAnsi="Arial"/>
          <w:color w:val="1A1A2E"/>
          <w:sz w:val="22"/>
          <w:szCs w:val="22"/>
        </w:rPr>
        <w:t xml:space="preserve"/>
      </w:r>
    </w:p>
    <w:p>
      <w:pPr>
        <w:pStyle w:val="Heading1"/>
        <w:pBdr>
          <w:bottom w:val="single" w:color="9945FF" w:sz="4" w:space="6"/>
        </w:pBdr>
        <w:spacing w:before="360" w:after="180"/>
      </w:pPr>
      <w:r>
        <w:rPr>
          <w:rFonts w:ascii="Arial" w:cs="Arial" w:eastAsia="Arial" w:hAnsi="Arial"/>
          <w:b/>
          <w:bCs/>
          <w:color w:val="1A1A2E"/>
          <w:sz w:val="32"/>
          <w:szCs w:val="32"/>
        </w:rPr>
        <w:t xml:space="preserve">7. Team</w:t>
      </w:r>
    </w:p>
    <w:p>
      <w:pPr>
        <w:spacing w:after="100"/>
      </w:pPr>
      <w:r>
        <w:rPr>
          <w:rFonts w:ascii="Arial" w:cs="Arial" w:eastAsia="Arial" w:hAnsi="Arial"/>
          <w:b/>
          <w:bCs/>
          <w:color w:val="9945FF"/>
          <w:sz w:val="22"/>
          <w:szCs w:val="22"/>
        </w:rPr>
        <w:t xml:space="preserve">Name: </w:t>
      </w:r>
      <w:r>
        <w:rPr>
          <w:rFonts w:ascii="Arial" w:cs="Arial" w:eastAsia="Arial" w:hAnsi="Arial"/>
          <w:color w:val="1A1A2E"/>
          <w:sz w:val="22"/>
          <w:szCs w:val="22"/>
        </w:rPr>
        <w:t xml:space="preserve">Marchel Penchev</w:t>
      </w:r>
    </w:p>
    <w:p>
      <w:pPr>
        <w:spacing w:after="100"/>
      </w:pPr>
      <w:r>
        <w:rPr>
          <w:rFonts w:ascii="Arial" w:cs="Arial" w:eastAsia="Arial" w:hAnsi="Arial"/>
          <w:b/>
          <w:bCs/>
          <w:color w:val="9945FF"/>
          <w:sz w:val="22"/>
          <w:szCs w:val="22"/>
        </w:rPr>
        <w:t xml:space="preserve">Role: </w:t>
      </w:r>
      <w:r>
        <w:rPr>
          <w:rFonts w:ascii="Arial" w:cs="Arial" w:eastAsia="Arial" w:hAnsi="Arial"/>
          <w:color w:val="1A1A2E"/>
          <w:sz w:val="22"/>
          <w:szCs w:val="22"/>
        </w:rPr>
        <w:t xml:space="preserve">Lead Developer (solo)</w:t>
      </w:r>
    </w:p>
    <w:p>
      <w:pPr>
        <w:spacing w:after="100"/>
      </w:pPr>
      <w:r>
        <w:rPr>
          <w:rFonts w:ascii="Arial" w:cs="Arial" w:eastAsia="Arial" w:hAnsi="Arial"/>
          <w:b/>
          <w:bCs/>
          <w:color w:val="9945FF"/>
          <w:sz w:val="22"/>
          <w:szCs w:val="22"/>
        </w:rPr>
        <w:t xml:space="preserve">Languages: </w:t>
      </w:r>
      <w:r>
        <w:rPr>
          <w:rFonts w:ascii="Arial" w:cs="Arial" w:eastAsia="Arial" w:hAnsi="Arial"/>
          <w:color w:val="1A1A2E"/>
          <w:sz w:val="22"/>
          <w:szCs w:val="22"/>
        </w:rPr>
        <w:t xml:space="preserve">Rust (primary), Python, TypeScript</w:t>
      </w:r>
    </w:p>
    <w:p>
      <w:pPr>
        <w:spacing w:after="100"/>
      </w:pPr>
      <w:r>
        <w:rPr>
          <w:rFonts w:ascii="Arial" w:cs="Arial" w:eastAsia="Arial" w:hAnsi="Arial"/>
          <w:b/>
          <w:bCs/>
          <w:color w:val="9945FF"/>
          <w:sz w:val="22"/>
          <w:szCs w:val="22"/>
        </w:rPr>
        <w:t xml:space="preserve">Blockchain experience: </w:t>
      </w:r>
      <w:r>
        <w:rPr>
          <w:rFonts w:ascii="Arial" w:cs="Arial" w:eastAsia="Arial" w:hAnsi="Arial"/>
          <w:color w:val="1A1A2E"/>
          <w:sz w:val="22"/>
          <w:szCs w:val="22"/>
        </w:rPr>
        <w:t xml:space="preserve">Solana validator operations, Rust smart contract development</w:t>
      </w:r>
    </w:p>
    <w:p>
      <w:pPr>
        <w:spacing w:after="100"/>
      </w:pPr>
      <w:r>
        <w:rPr>
          <w:rFonts w:ascii="Arial" w:cs="Arial" w:eastAsia="Arial" w:hAnsi="Arial"/>
          <w:b/>
          <w:bCs/>
          <w:color w:val="9945FF"/>
          <w:sz w:val="22"/>
          <w:szCs w:val="22"/>
        </w:rPr>
        <w:t xml:space="preserve">Current work: </w:t>
      </w:r>
      <w:r>
        <w:rPr>
          <w:rFonts w:ascii="Arial" w:cs="Arial" w:eastAsia="Arial" w:hAnsi="Arial"/>
          <w:color w:val="1A1A2E"/>
          <w:sz w:val="22"/>
          <w:szCs w:val="22"/>
        </w:rPr>
        <w:t xml:space="preserve">v0.1 and v0.2 of this project — fully implemented and operational</w:t>
      </w:r>
    </w:p>
    <w:p>
      <w:pPr>
        <w:spacing w:after="100"/>
      </w:pPr>
      <w:r>
        <w:rPr>
          <w:rFonts w:ascii="Arial" w:cs="Arial" w:eastAsia="Arial" w:hAnsi="Arial"/>
          <w:b/>
          <w:bCs/>
          <w:color w:val="9945FF"/>
          <w:sz w:val="22"/>
          <w:szCs w:val="22"/>
        </w:rPr>
        <w:t xml:space="preserve">GitHub: </w:t>
      </w:r>
      <w:r>
        <w:rPr>
          <w:rFonts w:ascii="Arial" w:cs="Arial" w:eastAsia="Arial" w:hAnsi="Arial"/>
          <w:color w:val="1A1A2E"/>
          <w:sz w:val="22"/>
          <w:szCs w:val="22"/>
        </w:rPr>
        <w:t xml:space="preserve">github.com/mrnobody</w:t>
      </w:r>
    </w:p>
    <w:p>
      <w:pPr>
        <w:spacing w:after="140"/>
      </w:pPr>
      <w:r>
        <w:rPr>
          <w:rFonts w:ascii="Arial" w:cs="Arial" w:eastAsia="Arial" w:hAnsi="Arial"/>
          <w:color w:val="1A1A2E"/>
          <w:sz w:val="22"/>
          <w:szCs w:val="22"/>
        </w:rPr>
        <w:t xml:space="preserve"/>
      </w:r>
    </w:p>
    <w:p>
      <w:pPr>
        <w:spacing w:after="140"/>
      </w:pPr>
      <w:r>
        <w:rPr>
          <w:rFonts w:ascii="Arial" w:cs="Arial" w:eastAsia="Arial" w:hAnsi="Arial"/>
          <w:color w:val="1A1A2E"/>
          <w:sz w:val="22"/>
          <w:szCs w:val="22"/>
        </w:rPr>
        <w:t xml:space="preserve">The v0.2 codebase (submitted with this proposal) demonstrates production-quality Rust including async parallel RPC calls, typed error handling, Prometheus gauge registry, and a modular architecture that is ready for the planned v0.3–v0.5 extensions.</w:t>
      </w:r>
    </w:p>
    <w:p>
      <w:pPr>
        <w:spacing w:after="140"/>
      </w:pPr>
      <w:r>
        <w:rPr>
          <w:rFonts w:ascii="Arial" w:cs="Arial" w:eastAsia="Arial" w:hAnsi="Arial"/>
          <w:color w:val="1A1A2E"/>
          <w:sz w:val="22"/>
          <w:szCs w:val="22"/>
        </w:rPr>
        <w:t xml:space="preserve"/>
      </w:r>
    </w:p>
    <w:p>
      <w:pPr>
        <w:pStyle w:val="Heading1"/>
        <w:pBdr>
          <w:bottom w:val="single" w:color="9945FF" w:sz="4" w:space="6"/>
        </w:pBdr>
        <w:spacing w:before="360" w:after="180"/>
      </w:pPr>
      <w:r>
        <w:rPr>
          <w:rFonts w:ascii="Arial" w:cs="Arial" w:eastAsia="Arial" w:hAnsi="Arial"/>
          <w:b/>
          <w:bCs/>
          <w:color w:val="1A1A2E"/>
          <w:sz w:val="32"/>
          <w:szCs w:val="32"/>
        </w:rP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468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Target (6 months post-launch)</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GitHub stars</w:t>
            </w:r>
          </w:p>
        </w:tc>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9945FF"/>
                <w:sz w:val="20"/>
                <w:szCs w:val="20"/>
              </w:rPr>
              <w:t xml:space="preserve">500+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Unique validator deployments</w:t>
            </w:r>
          </w:p>
        </w:tc>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9945FF"/>
                <w:sz w:val="20"/>
                <w:szCs w:val="20"/>
              </w:rPr>
              <w:t xml:space="preserve">100+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Grafana dashboard imports</w:t>
            </w:r>
          </w:p>
        </w:tc>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9945FF"/>
                <w:sz w:val="20"/>
                <w:szCs w:val="20"/>
              </w:rPr>
              <w:t xml:space="preserve">200+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Community-submitted issues / PRs</w:t>
            </w:r>
          </w:p>
        </w:tc>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9945FF"/>
                <w:sz w:val="20"/>
                <w:szCs w:val="20"/>
              </w:rPr>
              <w:t xml:space="preserve">20+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Documentation completeness</w:t>
            </w:r>
          </w:p>
        </w:tc>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9945FF"/>
                <w:sz w:val="20"/>
                <w:szCs w:val="20"/>
              </w:rPr>
              <w:t xml:space="preserve">Full operator guide, API reference</w:t>
            </w:r>
          </w:p>
        </w:tc>
      </w:tr>
    </w:tbl>
    <w:p>
      <w:pPr>
        <w:spacing w:after="140"/>
      </w:pPr>
      <w:r>
        <w:rPr>
          <w:rFonts w:ascii="Arial" w:cs="Arial" w:eastAsia="Arial" w:hAnsi="Arial"/>
          <w:color w:val="1A1A2E"/>
          <w:sz w:val="22"/>
          <w:szCs w:val="22"/>
        </w:rPr>
        <w:t xml:space="preserve"/>
      </w:r>
    </w:p>
    <w:p>
      <w:pPr>
        <w:pStyle w:val="Heading1"/>
        <w:pBdr>
          <w:bottom w:val="single" w:color="9945FF" w:sz="4" w:space="6"/>
        </w:pBdr>
        <w:spacing w:before="360" w:after="180"/>
      </w:pPr>
      <w:r>
        <w:rPr>
          <w:rFonts w:ascii="Arial" w:cs="Arial" w:eastAsia="Arial" w:hAnsi="Arial"/>
          <w:b/>
          <w:bCs/>
          <w:color w:val="1A1A2E"/>
          <w:sz w:val="32"/>
          <w:szCs w:val="32"/>
        </w:rPr>
        <w:t xml:space="preserve">9. Closing Statement</w:t>
      </w:r>
    </w:p>
    <w:p>
      <w:pPr>
        <w:spacing w:after="140"/>
      </w:pPr>
      <w:r>
        <w:rPr>
          <w:rFonts w:ascii="Arial" w:cs="Arial" w:eastAsia="Arial" w:hAnsi="Arial"/>
          <w:color w:val="1A1A2E"/>
          <w:sz w:val="22"/>
          <w:szCs w:val="22"/>
        </w:rPr>
        <w:t xml:space="preserve">Solana validators are the backbone of the network. They deserve monitoring tools that are as fast, reliable, and purpose-built as the validator software itself. Solana Validator Health Dashboard is already functional — this grant is the difference between a useful side project and a fully-featured, community-maintained piece of ecosystem infrastructure.</w:t>
      </w:r>
    </w:p>
    <w:p>
      <w:pPr>
        <w:spacing w:after="140"/>
      </w:pPr>
      <w:r>
        <w:rPr>
          <w:rFonts w:ascii="Arial" w:cs="Arial" w:eastAsia="Arial" w:hAnsi="Arial"/>
          <w:color w:val="1A1A2E"/>
          <w:sz w:val="22"/>
          <w:szCs w:val="22"/>
        </w:rPr>
        <w:t xml:space="preserve"/>
      </w:r>
    </w:p>
    <w:p>
      <w:pPr>
        <w:spacing w:after="140"/>
      </w:pPr>
      <w:r>
        <w:rPr>
          <w:rFonts w:ascii="Arial" w:cs="Arial" w:eastAsia="Arial" w:hAnsi="Arial"/>
          <w:color w:val="1A1A2E"/>
          <w:sz w:val="22"/>
          <w:szCs w:val="22"/>
        </w:rPr>
        <w:t xml:space="preserve">We believe this project represents strong value-for-money: it serves every validator in the ecosystem, costs no ongoing infrastructure, generates no token dependencies, and is being built in Rust — the native language of the Solana stack.</w:t>
      </w:r>
    </w:p>
    <w:p>
      <w:pPr>
        <w:spacing w:after="1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00"/>
              <w:bottom w:type="dxa" w:w="160"/>
              <w:right w:type="dxa" w:w="200"/>
            </w:tcMar>
          </w:tcPr>
          <w:p>
            <w:r>
              <w:rPr>
                <w:rFonts w:ascii="Arial" w:cs="Arial" w:eastAsia="Arial" w:hAnsi="Arial"/>
                <w:i/>
                <w:iCs/>
                <w:color w:val="1A1A2E"/>
                <w:sz w:val="22"/>
                <w:szCs w:val="22"/>
              </w:rPr>
              <w:t xml:space="preserve">We welcome the opportunity to discuss this proposal further, provide a live demonstration of the v0.2 dashboard, or adjust scope based on Foundation feedback. Thank you for your consideration.</w:t>
            </w:r>
          </w:p>
        </w:tc>
      </w:tr>
    </w:tbl>
    <w:p>
      <w:pPr>
        <w:spacing w:after="140"/>
      </w:pPr>
      <w:r>
        <w:rPr>
          <w:rFonts w:ascii="Arial" w:cs="Arial" w:eastAsia="Arial" w:hAnsi="Arial"/>
          <w:color w:val="1A1A2E"/>
          <w:sz w:val="22"/>
          <w:szCs w:val="22"/>
        </w:rPr>
        <w:t xml:space="preserve"/>
      </w:r>
    </w:p>
    <w:p>
      <w:pPr>
        <w:spacing w:after="140"/>
      </w:pPr>
      <w:r>
        <w:rPr>
          <w:rFonts w:ascii="Arial" w:cs="Arial" w:eastAsia="Arial" w:hAnsi="Arial"/>
          <w:b/>
          <w:bCs/>
          <w:color w:val="1A1A2E"/>
          <w:sz w:val="22"/>
          <w:szCs w:val="22"/>
        </w:rPr>
        <w:t xml:space="preserve">— Marchel Penchev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9945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2026-03-12T06:40:07.441Z</dcterms:created>
  <dcterms:modified xsi:type="dcterms:W3CDTF">2026-03-12T06:40:07.442Z</dcterms:modified>
</cp:coreProperties>
</file>

<file path=docProps/custom.xml><?xml version="1.0" encoding="utf-8"?>
<Properties xmlns="http://schemas.openxmlformats.org/officeDocument/2006/custom-properties" xmlns:vt="http://schemas.openxmlformats.org/officeDocument/2006/docPropsVTypes"/>
</file>