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F3864"/>
          <w:sz w:val="52"/>
          <w:szCs w:val="52"/>
        </w:rPr>
        <w:t xml:space="preserve">Robust Table Extraction for Technical Specifications</w:t>
      </w:r>
    </w:p>
    <w:p>
      <w:pPr>
        <w:spacing w:before="0" w:after="200"/>
        <w:jc w:val="center"/>
      </w:pPr>
      <w:r>
        <w:rPr>
          <w:rFonts w:ascii="Arial" w:cs="Arial" w:eastAsia="Arial" w:hAnsi="Arial"/>
          <w:b/>
          <w:bCs/>
          <w:color w:val="2E5596"/>
          <w:sz w:val="44"/>
          <w:szCs w:val="44"/>
        </w:rPr>
        <w:t xml:space="preserve">Using Vision Large Multimodal Models</w:t>
      </w:r>
    </w:p>
    <w:p>
      <w:pPr>
        <w:spacing w:before="80" w:after="480"/>
        <w:jc w:val="center"/>
      </w:pPr>
      <w:r>
        <w:rPr>
          <w:rFonts w:ascii="Arial" w:cs="Arial" w:eastAsia="Arial" w:hAnsi="Arial"/>
          <w:i/>
          <w:iCs/>
          <w:color w:val="555555"/>
          <w:sz w:val="24"/>
          <w:szCs w:val="24"/>
        </w:rPr>
        <w:t xml:space="preserve">A Section-Based Visual-Hybrid Pipeline for NVMe and TCG Opal Specifications</w:t>
      </w:r>
    </w:p>
    <w:p>
      <w:pPr>
        <w:pBdr>
          <w:bottom w:val="single" w:color="1F3864" w:sz="6" w:space="1"/>
        </w:pBdr>
        <w:spacing w:before="240" w:after="120"/>
      </w:pPr>
      <w:r>
        <w:rPr>
          <w:rFonts w:ascii="Arial" w:cs="Arial" w:eastAsia="Arial" w:hAnsi="Arial"/>
          <w:b/>
          <w:bCs/>
          <w:color w:val="1F3864"/>
          <w:sz w:val="28"/>
          <w:szCs w:val="28"/>
        </w:rPr>
        <w:t xml:space="preserve">Abstract</w:t>
      </w:r>
    </w:p>
    <w:p>
      <w:pPr>
        <w:shd w:fill="F0F4FA" w:val="clear"/>
        <w:spacing w:before="120" w:after="80"/>
        <w:ind w:left="360" w:right="360"/>
        <w:jc w:val="both"/>
      </w:pPr>
      <w:r>
        <w:rPr>
          <w:rFonts w:ascii="Arial" w:cs="Arial" w:eastAsia="Arial" w:hAnsi="Arial"/>
          <w:i w:val="false"/>
          <w:iCs w:val="false"/>
          <w:sz w:val="21"/>
          <w:szCs w:val="21"/>
        </w:rPr>
        <w:t xml:space="preserve">Extracting structured data from complex technical specification documents—such as TCG Opal and NVMe standards—is a critical step for automated compliance testing and system verification. However, this task remains challenging due to irregular layouts, merged cells, and high sparsity commonly found in these PDFs. This paper evaluates the limitations of traditional rule-based extraction methods (e.g., PyMuPDF) and proposes a robust Section-Based Visual-Hybrid Pipeline utilizing Large Multimodal Models (LMMs).</w:t>
      </w:r>
    </w:p>
    <w:p>
      <w:pPr>
        <w:spacing w:before="60" w:after="80"/>
        <w:ind w:left="360" w:right="360"/>
        <w:jc w:val="both"/>
      </w:pPr>
      <w:r>
        <w:rPr>
          <w:rFonts w:ascii="Arial" w:cs="Arial" w:eastAsia="Arial" w:hAnsi="Arial"/>
          <w:sz w:val="21"/>
          <w:szCs w:val="21"/>
        </w:rPr>
        <w:t xml:space="preserve">While rule-based methods offer superior processing speed, they catastrophically fail on structurally complex tables—specifically those with sparse data where column alignment is visually implied rather than explicitly grid-lined. Vision LLMs (e.g., Qwen-VL) show exceptional capability in parsing complex structures but inherently process documents page-by-page, causing multi-page tables to suffer from fragmentation and contextual loss. We resolve this fundamental limitation by introducing a Section-Based Extraction approach paired with Image Stitching, which seamlessly merges disjointed table fragments across page boundaries prior to VLLM inference. By employing this methodology, we achieved near 100% extraction accuracy with zero data misalignment on extremely complex tables, proving that combining structural section awareness with semantic visual understanding is essential for high-fidelity technical document parsing.</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1. Introduction</w:t>
      </w:r>
    </w:p>
    <w:p>
      <w:pPr>
        <w:pStyle w:val="Heading2"/>
        <w:spacing w:before="280" w:after="140"/>
      </w:pPr>
      <w:r>
        <w:rPr>
          <w:rFonts w:ascii="Arial" w:cs="Arial" w:eastAsia="Arial" w:hAnsi="Arial"/>
          <w:b/>
          <w:bCs/>
          <w:color w:val="2E5596"/>
          <w:sz w:val="28"/>
          <w:szCs w:val="28"/>
        </w:rPr>
        <w:t xml:space="preserve">1.1 The Challenge of Technical Specifications</w:t>
      </w:r>
    </w:p>
    <w:p>
      <w:pPr>
        <w:spacing w:before="80" w:after="120"/>
        <w:jc w:val="both"/>
      </w:pPr>
      <w:r>
        <w:rPr>
          <w:rFonts w:ascii="Arial" w:cs="Arial" w:eastAsia="Arial" w:hAnsi="Arial"/>
          <w:sz w:val="22"/>
          <w:szCs w:val="22"/>
        </w:rPr>
        <w:t xml:space="preserve">Technical specifications for storage and security protocols—such as TCG Storage Opal SSC and NVMe Base Specification—are the ground truth for hardware and software development. These documents contain thousands of configuration parameters, command sets, and unique identifiers (UIDs) embedded within tables. Automating the extraction of this data is essential for generating code, creating verification suites, and ensuring standards compliance.</w:t>
      </w:r>
    </w:p>
    <w:p>
      <w:pPr>
        <w:spacing w:before="80" w:after="120"/>
        <w:jc w:val="both"/>
      </w:pPr>
      <w:r>
        <w:rPr>
          <w:rFonts w:ascii="Arial" w:cs="Arial" w:eastAsia="Arial" w:hAnsi="Arial"/>
          <w:sz w:val="22"/>
          <w:szCs w:val="22"/>
        </w:rPr>
        <w:t xml:space="preserve">Unlike financial statements or simple invoices, technical specification tables often prioritize human readability over machine parseability. They feature complex headers, multi-line spanning cells, and significant whitespace that make automated extraction particularly difficult.</w:t>
      </w:r>
    </w:p>
    <w:p>
      <w:pPr>
        <w:pStyle w:val="Heading2"/>
        <w:spacing w:before="280" w:after="140"/>
      </w:pPr>
      <w:r>
        <w:rPr>
          <w:rFonts w:ascii="Arial" w:cs="Arial" w:eastAsia="Arial" w:hAnsi="Arial"/>
          <w:b/>
          <w:bCs/>
          <w:color w:val="2E5596"/>
          <w:sz w:val="28"/>
          <w:szCs w:val="28"/>
        </w:rPr>
        <w:t xml:space="preserve">1.2 Limitations of Existing Tools</w:t>
      </w:r>
    </w:p>
    <w:p>
      <w:pPr>
        <w:spacing w:before="80" w:after="120"/>
        <w:jc w:val="both"/>
      </w:pPr>
      <w:r>
        <w:rPr>
          <w:rFonts w:ascii="Arial" w:cs="Arial" w:eastAsia="Arial" w:hAnsi="Arial"/>
          <w:sz w:val="22"/>
          <w:szCs w:val="22"/>
        </w:rPr>
        <w:t xml:space="preserve">Traditional PDF extraction tools like PyMuPDF, Camelot, and Tabula rely heavily on underlying text stream coordinates and explicit ruling lines. While effective for dense, grid-like tables, these heuristics break down in the following scenarios:</w:t>
      </w:r>
    </w:p>
    <w:p>
      <w:pPr>
        <w:pStyle w:val="ListParagraph"/>
        <w:numPr>
          <w:ilvl w:val="0"/>
          <w:numId w:val="2"/>
        </w:numPr>
        <w:spacing w:before="60" w:after="60"/>
      </w:pPr>
      <w:r>
        <w:rPr>
          <w:rFonts w:ascii="Arial" w:cs="Arial" w:eastAsia="Arial" w:hAnsi="Arial"/>
          <w:sz w:val="22"/>
          <w:szCs w:val="22"/>
        </w:rPr>
        <w:t xml:space="preserve">Sparse Tables: Cells left empty to imply 'same as above' or 'N/A' are often misinterpreted as column shifts by rule-based parsers.</w:t>
      </w:r>
    </w:p>
    <w:p>
      <w:pPr>
        <w:pStyle w:val="ListParagraph"/>
        <w:numPr>
          <w:ilvl w:val="0"/>
          <w:numId w:val="2"/>
        </w:numPr>
        <w:spacing w:before="60" w:after="60"/>
      </w:pPr>
      <w:r>
        <w:rPr>
          <w:rFonts w:ascii="Arial" w:cs="Arial" w:eastAsia="Arial" w:hAnsi="Arial"/>
          <w:sz w:val="22"/>
          <w:szCs w:val="22"/>
        </w:rPr>
        <w:t xml:space="preserve">Implicit Alignment: Data aligned by visual indentation rather than physical grid lines cannot be reliably parsed.</w:t>
      </w:r>
    </w:p>
    <w:p>
      <w:pPr>
        <w:pStyle w:val="ListParagraph"/>
        <w:numPr>
          <w:ilvl w:val="0"/>
          <w:numId w:val="2"/>
        </w:numPr>
        <w:spacing w:before="60" w:after="60"/>
      </w:pPr>
      <w:r>
        <w:rPr>
          <w:rFonts w:ascii="Arial" w:cs="Arial" w:eastAsia="Arial" w:hAnsi="Arial"/>
          <w:sz w:val="22"/>
          <w:szCs w:val="22"/>
        </w:rPr>
        <w:t xml:space="preserve">Complex Headers: Multi-level headers that rule-based tools fail to correctly associate with the corresponding data columns.</w:t>
      </w:r>
    </w:p>
    <w:p>
      <w:pPr>
        <w:spacing w:before="40" w:after="40"/>
      </w:pPr>
      <w:r>
        <w:t xml:space="preserve"/>
      </w:r>
    </w:p>
    <w:p>
      <w:pPr>
        <w:spacing w:before="80" w:after="120"/>
        <w:jc w:val="both"/>
      </w:pPr>
      <w:r>
        <w:rPr>
          <w:rFonts w:ascii="Arial" w:cs="Arial" w:eastAsia="Arial" w:hAnsi="Arial"/>
          <w:sz w:val="22"/>
          <w:szCs w:val="22"/>
        </w:rPr>
        <w:t xml:space="preserve">This study highlights a specific failure mode in the TCG Opal specification where rule-based extraction generates 'ghost columns' and misaligned data, and presents a Vision-LLM solution that resolves these issues.</w:t>
      </w:r>
    </w:p>
    <w:p>
      <w:pPr>
        <w:pStyle w:val="Heading2"/>
        <w:spacing w:before="280" w:after="140"/>
      </w:pPr>
      <w:r>
        <w:rPr>
          <w:rFonts w:ascii="Arial" w:cs="Arial" w:eastAsia="Arial" w:hAnsi="Arial"/>
          <w:b/>
          <w:bCs/>
          <w:color w:val="2E5596"/>
          <w:sz w:val="28"/>
          <w:szCs w:val="28"/>
        </w:rPr>
        <w:t xml:space="preserve">1.3 Motivation</w:t>
      </w:r>
    </w:p>
    <w:p>
      <w:pPr>
        <w:spacing w:before="80" w:after="120"/>
        <w:jc w:val="both"/>
      </w:pPr>
      <w:r>
        <w:rPr>
          <w:rFonts w:ascii="Arial" w:cs="Arial" w:eastAsia="Arial" w:hAnsi="Arial"/>
          <w:sz w:val="22"/>
          <w:szCs w:val="22"/>
        </w:rPr>
        <w:t xml:space="preserve">The primary motivation for this work arose from a practical bottleneck encountered while developing automated compliance testing tools for storage protocols such as TCG Opal and NVMe. Technical specifications contain vital configurations and parameters, but the structured data locked within these PDFs is extremely resistant to conventional parsing. Manual transcription is not scalable, and rule-based extractors yield silent errors that require extensive human correction.</w:t>
      </w:r>
    </w:p>
    <w:p>
      <w:pPr>
        <w:spacing w:before="80" w:after="120"/>
        <w:jc w:val="both"/>
      </w:pPr>
      <w:r>
        <w:rPr>
          <w:rFonts w:ascii="Arial" w:cs="Arial" w:eastAsia="Arial" w:hAnsi="Arial"/>
          <w:sz w:val="22"/>
          <w:szCs w:val="22"/>
        </w:rPr>
        <w:t xml:space="preserve">We needed a fully automated, high-fidelity extraction system that interprets visual layout cues exactly as a human engineer would, eliminating the need for manual data verification.</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2. Methodology: From Hybrid to Vision-Only</w:t>
      </w:r>
    </w:p>
    <w:p>
      <w:pPr>
        <w:pStyle w:val="Heading2"/>
        <w:spacing w:before="280" w:after="140"/>
      </w:pPr>
      <w:r>
        <w:rPr>
          <w:rFonts w:ascii="Arial" w:cs="Arial" w:eastAsia="Arial" w:hAnsi="Arial"/>
          <w:b/>
          <w:bCs/>
          <w:color w:val="2E5596"/>
          <w:sz w:val="28"/>
          <w:szCs w:val="28"/>
        </w:rPr>
        <w:t xml:space="preserve">2.1 The Initial Hybrid Approach</w:t>
      </w:r>
    </w:p>
    <w:p>
      <w:pPr>
        <w:spacing w:before="80" w:after="120"/>
        <w:jc w:val="both"/>
      </w:pPr>
      <w:r>
        <w:rPr>
          <w:rFonts w:ascii="Arial" w:cs="Arial" w:eastAsia="Arial" w:hAnsi="Arial"/>
          <w:sz w:val="22"/>
          <w:szCs w:val="22"/>
        </w:rPr>
        <w:t xml:space="preserve">Our initial hypothesis was that a hybrid pipeline could balance cost and accuracy. We designed a system that prioritized speed with a three-stage fallback architecture:</w:t>
      </w:r>
    </w:p>
    <w:p>
      <w:pPr>
        <w:pStyle w:val="ListParagraph"/>
        <w:numPr>
          <w:ilvl w:val="0"/>
          <w:numId w:val="3"/>
        </w:numPr>
        <w:spacing w:before="60" w:after="60"/>
      </w:pPr>
      <w:r>
        <w:rPr>
          <w:rFonts w:ascii="Arial" w:cs="Arial" w:eastAsia="Arial" w:hAnsi="Arial"/>
          <w:sz w:val="22"/>
          <w:szCs w:val="22"/>
        </w:rPr>
        <w:t xml:space="preserve">Fast Path (Rule-Based): Use PyMuPDF with optimized parameter tuning (snap_tolerance, intersection_tolerance) to extract simple grid tables.</w:t>
      </w:r>
    </w:p>
    <w:p>
      <w:pPr>
        <w:pStyle w:val="ListParagraph"/>
        <w:numPr>
          <w:ilvl w:val="0"/>
          <w:numId w:val="3"/>
        </w:numPr>
        <w:spacing w:before="60" w:after="60"/>
      </w:pPr>
      <w:r>
        <w:rPr>
          <w:rFonts w:ascii="Arial" w:cs="Arial" w:eastAsia="Arial" w:hAnsi="Arial"/>
          <w:sz w:val="22"/>
          <w:szCs w:val="22"/>
        </w:rPr>
        <w:t xml:space="preserve">Quality Gates: Implement heuristics to detect potential failures, such as checking for empty columns or header-to-data width mismatches.</w:t>
      </w:r>
    </w:p>
    <w:p>
      <w:pPr>
        <w:pStyle w:val="ListParagraph"/>
        <w:numPr>
          <w:ilvl w:val="0"/>
          <w:numId w:val="3"/>
        </w:numPr>
        <w:spacing w:before="60" w:after="60"/>
      </w:pPr>
      <w:r>
        <w:rPr>
          <w:rFonts w:ascii="Arial" w:cs="Arial" w:eastAsia="Arial" w:hAnsi="Arial"/>
          <w:sz w:val="22"/>
          <w:szCs w:val="22"/>
        </w:rPr>
        <w:t xml:space="preserve">Slow Path (Vision Fallback): Route only 'detected failures' to a Vision LLM for re-processing.</w:t>
      </w:r>
    </w:p>
    <w:p>
      <w:pPr>
        <w:pStyle w:val="Heading2"/>
        <w:spacing w:before="280" w:after="140"/>
      </w:pPr>
      <w:r>
        <w:rPr>
          <w:rFonts w:ascii="Arial" w:cs="Arial" w:eastAsia="Arial" w:hAnsi="Arial"/>
          <w:b/>
          <w:bCs/>
          <w:color w:val="2E5596"/>
          <w:sz w:val="28"/>
          <w:szCs w:val="28"/>
        </w:rPr>
        <w:t xml:space="preserve">2.2 The Sparsity Paradox: Silent Failures</w:t>
      </w:r>
    </w:p>
    <w:p>
      <w:pPr>
        <w:spacing w:before="80" w:after="120"/>
        <w:jc w:val="both"/>
      </w:pPr>
      <w:r>
        <w:rPr>
          <w:rFonts w:ascii="Arial" w:cs="Arial" w:eastAsia="Arial" w:hAnsi="Arial"/>
          <w:sz w:val="22"/>
          <w:szCs w:val="22"/>
        </w:rPr>
        <w:t xml:space="preserve">We discovered a critical flaw in the hybrid model: silent failures. Rule-based parsers often returned 'valid-looking' markdown tables—correct dimensions, no errors thrown—that were semantically incorrect. Because the extraction logic appeared to succeed mathematically (coordinates matched), the Quality Gates failed to flag the errors, allowing corrupted data to pass through undetected.</w:t>
      </w:r>
    </w:p>
    <w:p>
      <w:pPr>
        <w:spacing w:before="80" w:after="120"/>
        <w:jc w:val="both"/>
      </w:pPr>
      <w:r>
        <w:rPr>
          <w:rFonts w:ascii="Arial" w:cs="Arial" w:eastAsia="Arial" w:hAnsi="Arial"/>
          <w:sz w:val="22"/>
          <w:szCs w:val="22"/>
        </w:rPr>
        <w:t xml:space="preserve">This finding led us to abandon the heavily rule-based approach in favor of a Vision-Only pipeline for all complex visual elements, while retaining rule-based parsing strictly for standard paragraph text.</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3. Findings &amp; Failure Analysis</w:t>
      </w:r>
    </w:p>
    <w:p>
      <w:pPr>
        <w:pStyle w:val="Heading2"/>
        <w:spacing w:before="280" w:after="140"/>
      </w:pPr>
      <w:r>
        <w:rPr>
          <w:rFonts w:ascii="Arial" w:cs="Arial" w:eastAsia="Arial" w:hAnsi="Arial"/>
          <w:b/>
          <w:bCs/>
          <w:color w:val="2E5596"/>
          <w:sz w:val="28"/>
          <w:szCs w:val="28"/>
        </w:rPr>
        <w:t xml:space="preserve">3.1 Case Study: The TCG Opal MethodID Table</w:t>
      </w:r>
    </w:p>
    <w:p>
      <w:pPr>
        <w:spacing w:before="80" w:after="120"/>
        <w:jc w:val="both"/>
      </w:pPr>
      <w:r>
        <w:rPr>
          <w:rFonts w:ascii="Arial" w:cs="Arial" w:eastAsia="Arial" w:hAnsi="Arial"/>
          <w:sz w:val="22"/>
          <w:szCs w:val="22"/>
        </w:rPr>
        <w:t xml:space="preserve">The most distinct failure occurred with Table 21: MethodID in the TCG Opal specification. This table lists UIDs (byte sequences) and their corresponding Method Names. Crucially, the byte sequences are often short, leaving large amounts of whitespace in the 'UID' column.</w:t>
      </w:r>
    </w:p>
    <w:p>
      <w:pPr>
        <w:pStyle w:val="Heading3"/>
        <w:spacing w:before="200" w:after="100"/>
      </w:pPr>
      <w:r>
        <w:rPr>
          <w:rFonts w:ascii="Arial" w:cs="Arial" w:eastAsia="Arial" w:hAnsi="Arial"/>
          <w:b/>
          <w:bCs/>
          <w:color w:val="2E5596"/>
          <w:sz w:val="24"/>
          <w:szCs w:val="24"/>
        </w:rPr>
        <w:t xml:space="preserve">PyMuPDF Failure Mode</w:t>
      </w:r>
    </w:p>
    <w:p>
      <w:pPr>
        <w:pStyle w:val="ListParagraph"/>
        <w:numPr>
          <w:ilvl w:val="0"/>
          <w:numId w:val="2"/>
        </w:numPr>
        <w:spacing w:before="60" w:after="60"/>
      </w:pPr>
      <w:r>
        <w:rPr>
          <w:rFonts w:ascii="Arial" w:cs="Arial" w:eastAsia="Arial" w:hAnsi="Arial"/>
          <w:sz w:val="22"/>
          <w:szCs w:val="22"/>
        </w:rPr>
        <w:t xml:space="preserve">The rule-based parser detected wide gaps between short UID text and the next column as 'new columns'.</w:t>
      </w:r>
    </w:p>
    <w:p>
      <w:pPr>
        <w:pStyle w:val="ListParagraph"/>
        <w:numPr>
          <w:ilvl w:val="0"/>
          <w:numId w:val="2"/>
        </w:numPr>
        <w:spacing w:before="60" w:after="60"/>
      </w:pPr>
      <w:r>
        <w:rPr>
          <w:rFonts w:ascii="Arial" w:cs="Arial" w:eastAsia="Arial" w:hAnsi="Arial"/>
          <w:sz w:val="22"/>
          <w:szCs w:val="22"/>
        </w:rPr>
        <w:t xml:space="preserve">This resulted in splitting a single logical column into multiple phantom (ghost) columns.</w:t>
      </w:r>
    </w:p>
    <w:p>
      <w:pPr>
        <w:pStyle w:val="ListParagraph"/>
        <w:numPr>
          <w:ilvl w:val="0"/>
          <w:numId w:val="2"/>
        </w:numPr>
        <w:spacing w:before="60" w:after="60"/>
      </w:pPr>
      <w:r>
        <w:rPr>
          <w:rFonts w:ascii="Arial" w:cs="Arial" w:eastAsia="Arial" w:hAnsi="Arial"/>
          <w:sz w:val="22"/>
          <w:szCs w:val="22"/>
        </w:rPr>
        <w:t xml:space="preserve">Data shifted rightward: the 'Name' text appeared in the 'CommonName' column, and the 'TemplateID' column was pushed out of existence.</w:t>
      </w:r>
    </w:p>
    <w:p>
      <w:pPr>
        <w:pStyle w:val="ListParagraph"/>
        <w:numPr>
          <w:ilvl w:val="0"/>
          <w:numId w:val="2"/>
        </w:numPr>
        <w:spacing w:before="60" w:after="60"/>
      </w:pPr>
      <w:r>
        <w:rPr>
          <w:rFonts w:ascii="Arial" w:cs="Arial" w:eastAsia="Arial" w:hAnsi="Arial"/>
          <w:sz w:val="22"/>
          <w:szCs w:val="22"/>
        </w:rPr>
        <w:t xml:space="preserve">Impact: UIDs became dissociated from their Method definitions, rendering extracted data useless for automated code generation.</w:t>
      </w:r>
    </w:p>
    <w:p>
      <w:pPr>
        <w:spacing w:before="40" w:after="40"/>
      </w:pPr>
      <w:r>
        <w:t xml:space="preserve"/>
      </w:r>
    </w:p>
    <w:p>
      <w:pPr>
        <w:spacing w:before="80" w:after="80"/>
      </w:pPr>
      <w:r>
        <w:rPr>
          <w:rFonts w:ascii="Courier New" w:cs="Courier New" w:eastAsia="Courier New" w:hAnsi="Courier New"/>
          <w:b/>
          <w:bCs/>
          <w:color w:val="C7254E"/>
          <w:sz w:val="20"/>
          <w:szCs w:val="20"/>
        </w:rPr>
        <w:t xml:space="preserve">Erroneous PyMuPDF Output (ghost column highlighted):</w:t>
      </w:r>
    </w:p>
    <w:p>
      <w:pPr>
        <w:pBdr>
          <w:left w:val="single" w:color="C7254E" w:sz="6" w:space="12"/>
        </w:pBdr>
        <w:shd w:fill="F8F8F8" w:val="clear"/>
        <w:spacing w:before="0" w:after="0"/>
        <w:ind w:left="360"/>
      </w:pPr>
      <w:r>
        <w:rPr>
          <w:rFonts w:ascii="Courier New" w:cs="Courier New" w:eastAsia="Courier New" w:hAnsi="Courier New"/>
          <w:color w:val="333333"/>
          <w:sz w:val="18"/>
          <w:szCs w:val="18"/>
        </w:rPr>
        <w:t xml:space="preserve">| UID        |        | Name | CommonName |</w:t>
      </w:r>
    </w:p>
    <w:p>
      <w:pPr>
        <w:pBdr>
          <w:left w:val="single" w:color="C7254E" w:sz="6" w:space="12"/>
        </w:pBdr>
        <w:shd w:fill="F8F8F8" w:val="clear"/>
        <w:spacing w:before="0" w:after="0"/>
        <w:ind w:left="360"/>
      </w:pPr>
      <w:r>
        <w:rPr>
          <w:rFonts w:ascii="Courier New" w:cs="Courier New" w:eastAsia="Courier New" w:hAnsi="Courier New"/>
          <w:color w:val="333333"/>
          <w:sz w:val="18"/>
          <w:szCs w:val="18"/>
        </w:rPr>
        <w:t xml:space="preserve">| 00 00 00 06 |        |      | "Next"     |</w:t>
      </w:r>
    </w:p>
    <w:p>
      <w:pPr>
        <w:pBdr>
          <w:left w:val="single" w:color="C7254E" w:sz="6" w:space="12"/>
        </w:pBdr>
        <w:shd w:fill="F8F8F8" w:val="clear"/>
        <w:spacing w:before="0" w:after="80"/>
        <w:ind w:left="360"/>
      </w:pPr>
      <w:r>
        <w:rPr>
          <w:rFonts w:ascii="Courier New" w:cs="Courier New" w:eastAsia="Courier New" w:hAnsi="Courier New"/>
          <w:color w:val="333333"/>
          <w:sz w:val="18"/>
          <w:szCs w:val="18"/>
        </w:rPr>
        <w:t xml:space="preserve">| 00 00 00 0D |        |      | "GetACL"   |</w:t>
      </w:r>
    </w:p>
    <w:p>
      <w:pPr>
        <w:pStyle w:val="Heading3"/>
        <w:spacing w:before="200" w:after="100"/>
      </w:pPr>
      <w:r>
        <w:rPr>
          <w:rFonts w:ascii="Arial" w:cs="Arial" w:eastAsia="Arial" w:hAnsi="Arial"/>
          <w:b/>
          <w:bCs/>
          <w:color w:val="2E5596"/>
          <w:sz w:val="24"/>
          <w:szCs w:val="24"/>
        </w:rPr>
        <w:t xml:space="preserve">Vision LLM Advantage</w:t>
      </w:r>
    </w:p>
    <w:p>
      <w:pPr>
        <w:spacing w:before="80" w:after="120"/>
        <w:jc w:val="both"/>
      </w:pPr>
      <w:r>
        <w:rPr>
          <w:rFonts w:ascii="Arial" w:cs="Arial" w:eastAsia="Arial" w:hAnsi="Arial"/>
          <w:sz w:val="22"/>
          <w:szCs w:val="22"/>
        </w:rPr>
        <w:t xml:space="preserve">When the same table image was processed by a Vision LLM (Qwen-VL), results were dramatically better:</w:t>
      </w:r>
    </w:p>
    <w:p>
      <w:pPr>
        <w:pStyle w:val="ListParagraph"/>
        <w:numPr>
          <w:ilvl w:val="0"/>
          <w:numId w:val="2"/>
        </w:numPr>
        <w:spacing w:before="60" w:after="60"/>
      </w:pPr>
      <w:r>
        <w:rPr>
          <w:rFonts w:ascii="Arial" w:cs="Arial" w:eastAsia="Arial" w:hAnsi="Arial"/>
          <w:sz w:val="22"/>
          <w:szCs w:val="22"/>
        </w:rPr>
        <w:t xml:space="preserve">Visual Semantic Understanding: The model recognized that wide whitespace was simply padding for alignment, not a column delimiter.</w:t>
      </w:r>
    </w:p>
    <w:p>
      <w:pPr>
        <w:pStyle w:val="ListParagraph"/>
        <w:numPr>
          <w:ilvl w:val="0"/>
          <w:numId w:val="2"/>
        </w:numPr>
        <w:spacing w:before="60" w:after="60"/>
      </w:pPr>
      <w:r>
        <w:rPr>
          <w:rFonts w:ascii="Arial" w:cs="Arial" w:eastAsia="Arial" w:hAnsi="Arial"/>
          <w:sz w:val="22"/>
          <w:szCs w:val="22"/>
        </w:rPr>
        <w:t xml:space="preserve">Header Alignment: Short byte sequences were correctly aligned under the 'UID' header based on visual proximity and vertical alignment.</w:t>
      </w:r>
    </w:p>
    <w:p>
      <w:pPr>
        <w:pStyle w:val="ListParagraph"/>
        <w:numPr>
          <w:ilvl w:val="0"/>
          <w:numId w:val="2"/>
        </w:numPr>
        <w:spacing w:before="60" w:after="60"/>
      </w:pPr>
      <w:r>
        <w:rPr>
          <w:rFonts w:ascii="Arial" w:cs="Arial" w:eastAsia="Arial" w:hAnsi="Arial"/>
          <w:sz w:val="22"/>
          <w:szCs w:val="22"/>
        </w:rPr>
        <w:t xml:space="preserve">Result: Produced Markdown was structurally identical to the human-readable PDF, with 0% data misalignment.</w:t>
      </w:r>
    </w:p>
    <w:p>
      <w:pPr>
        <w:spacing w:before="40" w:after="40"/>
      </w:pPr>
      <w:r>
        <w:t xml:space="preserve"/>
      </w:r>
    </w:p>
    <w:p>
      <w:pPr>
        <w:spacing w:before="80" w:after="80"/>
      </w:pPr>
      <w:r>
        <w:rPr>
          <w:rFonts w:ascii="Courier New" w:cs="Courier New" w:eastAsia="Courier New" w:hAnsi="Courier New"/>
          <w:b/>
          <w:bCs/>
          <w:color w:val="1A7A4A"/>
          <w:sz w:val="20"/>
          <w:szCs w:val="20"/>
        </w:rPr>
        <w:t xml:space="preserve">Correct Section-Hybrid Output:</w:t>
      </w:r>
    </w:p>
    <w:p>
      <w:pPr>
        <w:pBdr>
          <w:left w:val="single" w:color="1A7A4A" w:sz="6" w:space="12"/>
        </w:pBdr>
        <w:shd w:fill="F0FAF4" w:val="clear"/>
        <w:spacing w:before="0" w:after="0"/>
        <w:ind w:left="360"/>
      </w:pPr>
      <w:r>
        <w:rPr>
          <w:rFonts w:ascii="Courier New" w:cs="Courier New" w:eastAsia="Courier New" w:hAnsi="Courier New"/>
          <w:color w:val="333333"/>
          <w:sz w:val="18"/>
          <w:szCs w:val="18"/>
        </w:rPr>
        <w:t xml:space="preserve">| UID        | Name    | CommonName | TemplateID |</w:t>
      </w:r>
    </w:p>
    <w:p>
      <w:pPr>
        <w:pBdr>
          <w:left w:val="single" w:color="1A7A4A" w:sz="6" w:space="12"/>
        </w:pBdr>
        <w:shd w:fill="F0FAF4" w:val="clear"/>
        <w:spacing w:before="0" w:after="0"/>
        <w:ind w:left="360"/>
      </w:pPr>
      <w:r>
        <w:rPr>
          <w:rFonts w:ascii="Courier New" w:cs="Courier New" w:eastAsia="Courier New" w:hAnsi="Courier New"/>
          <w:color w:val="333333"/>
          <w:sz w:val="18"/>
          <w:szCs w:val="18"/>
        </w:rPr>
        <w:t xml:space="preserve">| 00 00 00 06 | "Next"  |            |            |</w:t>
      </w:r>
    </w:p>
    <w:p>
      <w:pPr>
        <w:pBdr>
          <w:left w:val="single" w:color="1A7A4A" w:sz="6" w:space="12"/>
        </w:pBdr>
        <w:shd w:fill="F0FAF4" w:val="clear"/>
        <w:spacing w:before="0" w:after="80"/>
        <w:ind w:left="360"/>
      </w:pPr>
      <w:r>
        <w:rPr>
          <w:rFonts w:ascii="Courier New" w:cs="Courier New" w:eastAsia="Courier New" w:hAnsi="Courier New"/>
          <w:color w:val="333333"/>
          <w:sz w:val="18"/>
          <w:szCs w:val="18"/>
        </w:rPr>
        <w:t xml:space="preserve">| 00 00 00 0D | "GetACL"|            |            |</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4. Proposed Architecture: Section-Based Visual-Hybrid Pipeline</w:t>
      </w:r>
    </w:p>
    <w:p>
      <w:pPr>
        <w:spacing w:before="80" w:after="120"/>
        <w:jc w:val="both"/>
      </w:pPr>
      <w:r>
        <w:rPr>
          <w:rFonts w:ascii="Arial" w:cs="Arial" w:eastAsia="Arial" w:hAnsi="Arial"/>
          <w:sz w:val="22"/>
          <w:szCs w:val="22"/>
        </w:rPr>
        <w:t xml:space="preserve">Based on the failure analysis, we abandoned the heavily rule-based approach in favor of a Visual-Hybrid Pipeline combined with a robust contextual extraction strategy. Our architecture is fundamentally hybrid: standard text is extracted rapidly using PyMuPDF, while all complex visual elements (tables and figures) are routed to the Vision LLM for high-fidelity parsing.</w:t>
      </w:r>
    </w:p>
    <w:p>
      <w:pPr>
        <w:pStyle w:val="Heading2"/>
        <w:spacing w:before="280" w:after="140"/>
      </w:pPr>
      <w:r>
        <w:rPr>
          <w:rFonts w:ascii="Arial" w:cs="Arial" w:eastAsia="Arial" w:hAnsi="Arial"/>
          <w:b/>
          <w:bCs/>
          <w:color w:val="2E5596"/>
          <w:sz w:val="28"/>
          <w:szCs w:val="28"/>
        </w:rPr>
        <w:t xml:space="preserve">4.1 Section-Based Extraction Strategy</w:t>
      </w:r>
    </w:p>
    <w:p>
      <w:pPr>
        <w:spacing w:before="80" w:after="120"/>
        <w:jc w:val="both"/>
      </w:pPr>
      <w:r>
        <w:rPr>
          <w:rFonts w:ascii="Arial" w:cs="Arial" w:eastAsia="Arial" w:hAnsi="Arial"/>
          <w:sz w:val="22"/>
          <w:szCs w:val="22"/>
        </w:rPr>
        <w:t xml:space="preserve">Instead of blindly extracting tables page-by-page, our pipeline introduces a Section-Based Method. We first parse the document's hierarchy via the Table of Contents and header detection to define section boundaries. All extracted elements—tables, figures, and text—are then systematically organized into their respective sections.</w:t>
      </w:r>
    </w:p>
    <w:p>
      <w:pPr>
        <w:pStyle w:val="ListParagraph"/>
        <w:numPr>
          <w:ilvl w:val="0"/>
          <w:numId w:val="2"/>
        </w:numPr>
        <w:spacing w:before="60" w:after="60"/>
      </w:pPr>
      <w:r>
        <w:rPr>
          <w:rFonts w:ascii="Arial" w:cs="Arial" w:eastAsia="Arial" w:hAnsi="Arial"/>
          <w:sz w:val="22"/>
          <w:szCs w:val="22"/>
        </w:rPr>
        <w:t xml:space="preserve">Context Preservation: Organizing data by section ensures that each table retains its structural context, critical for mapping parameters to their exact functional definitions in downstream applications.</w:t>
      </w:r>
    </w:p>
    <w:p>
      <w:pPr>
        <w:pStyle w:val="ListParagraph"/>
        <w:numPr>
          <w:ilvl w:val="0"/>
          <w:numId w:val="2"/>
        </w:numPr>
        <w:spacing w:before="60" w:after="60"/>
      </w:pPr>
      <w:r>
        <w:rPr>
          <w:rFonts w:ascii="Arial" w:cs="Arial" w:eastAsia="Arial" w:hAnsi="Arial"/>
          <w:sz w:val="22"/>
          <w:szCs w:val="22"/>
        </w:rPr>
        <w:t xml:space="preserve">Simplified Table Merging: Table fragments on consecutive pages belonging to the same logical section node are trivially grouped without relying on complex and error-prone heuristic matching.</w:t>
      </w:r>
    </w:p>
    <w:p>
      <w:pPr>
        <w:pStyle w:val="Heading2"/>
        <w:spacing w:before="280" w:after="140"/>
      </w:pPr>
      <w:r>
        <w:rPr>
          <w:rFonts w:ascii="Arial" w:cs="Arial" w:eastAsia="Arial" w:hAnsi="Arial"/>
          <w:b/>
          <w:bCs/>
          <w:color w:val="2E5596"/>
          <w:sz w:val="28"/>
          <w:szCs w:val="28"/>
        </w:rPr>
        <w:t xml:space="preserve">4.2 Image Stitching for Multi-Page Tables</w:t>
      </w:r>
    </w:p>
    <w:p>
      <w:pPr>
        <w:spacing w:before="80" w:after="120"/>
        <w:jc w:val="both"/>
      </w:pPr>
      <w:r>
        <w:rPr>
          <w:rFonts w:ascii="Arial" w:cs="Arial" w:eastAsia="Arial" w:hAnsi="Arial"/>
          <w:sz w:val="22"/>
          <w:szCs w:val="22"/>
        </w:rPr>
        <w:t xml:space="preserve">To process multi-page tables seamlessly, we implemented an Image Stitching technique leveraging section-based grouping. When a table spans multiple pages—for example, a ComID Management table beginning at the bottom of page 15 and continuing onto page 16—both table fragments are indexed under the exact same section hierarchy. The pipeline automatically identifies them as parts of a whole, then vertically stitches the two cropped images into a single contiguous image.</w:t>
      </w:r>
    </w:p>
    <w:p>
      <w:pPr>
        <w:spacing w:before="80" w:after="120"/>
        <w:jc w:val="both"/>
      </w:pPr>
      <w:r>
        <w:rPr>
          <w:rFonts w:ascii="Arial" w:cs="Arial" w:eastAsia="Arial" w:hAnsi="Arial"/>
          <w:sz w:val="22"/>
          <w:szCs w:val="22"/>
        </w:rPr>
        <w:t xml:space="preserve">When this synthesized, stitched image is provided to the Vision LLM, the model interprets the entire table holistically. This completely eliminates errors caused by page breaks, such as repeated headers or orphan rows, allowing the LLM to output a single, perfectly merged Markdown table.</w:t>
      </w:r>
    </w:p>
    <w:p>
      <w:pPr>
        <w:pStyle w:val="Heading2"/>
        <w:spacing w:before="280" w:after="140"/>
      </w:pPr>
      <w:r>
        <w:rPr>
          <w:rFonts w:ascii="Arial" w:cs="Arial" w:eastAsia="Arial" w:hAnsi="Arial"/>
          <w:b/>
          <w:bCs/>
          <w:color w:val="2E5596"/>
          <w:sz w:val="28"/>
          <w:szCs w:val="28"/>
        </w:rPr>
        <w:t xml:space="preserve">4.3 Pipeline Workflow</w:t>
      </w:r>
    </w:p>
    <w:p>
      <w:pPr>
        <w:pStyle w:val="ListParagraph"/>
        <w:numPr>
          <w:ilvl w:val="0"/>
          <w:numId w:val="3"/>
        </w:numPr>
        <w:spacing w:before="60" w:after="60"/>
      </w:pPr>
      <w:r>
        <w:rPr>
          <w:rFonts w:ascii="Arial" w:cs="Arial" w:eastAsia="Arial" w:hAnsi="Arial"/>
          <w:sz w:val="22"/>
          <w:szCs w:val="22"/>
        </w:rPr>
        <w:t xml:space="preserve">Layout Analysis: A dedicated object detection model (DeepSeek-OCR) scans each PDF page to identify table bounding boxes.</w:t>
      </w:r>
    </w:p>
    <w:p>
      <w:pPr>
        <w:pStyle w:val="ListParagraph"/>
        <w:numPr>
          <w:ilvl w:val="0"/>
          <w:numId w:val="3"/>
        </w:numPr>
        <w:spacing w:before="60" w:after="60"/>
      </w:pPr>
      <w:r>
        <w:rPr>
          <w:rFonts w:ascii="Arial" w:cs="Arial" w:eastAsia="Arial" w:hAnsi="Arial"/>
          <w:sz w:val="22"/>
          <w:szCs w:val="22"/>
        </w:rPr>
        <w:t xml:space="preserve">High-Fidelity Rendering: Identified regions are rendered as high-resolution images at 300 DPI.</w:t>
      </w:r>
    </w:p>
    <w:p>
      <w:pPr>
        <w:pStyle w:val="ListParagraph"/>
        <w:numPr>
          <w:ilvl w:val="0"/>
          <w:numId w:val="3"/>
        </w:numPr>
        <w:spacing w:before="60" w:after="60"/>
      </w:pPr>
      <w:r>
        <w:rPr>
          <w:rFonts w:ascii="Arial" w:cs="Arial" w:eastAsia="Arial" w:hAnsi="Arial"/>
          <w:sz w:val="22"/>
          <w:szCs w:val="22"/>
        </w:rPr>
        <w:t xml:space="preserve">Section Assignment &amp; Stitching: Table images are assigned to their logical sections. Multi-page tables within the same section are stitched into contiguous images across page boundaries.</w:t>
      </w:r>
    </w:p>
    <w:p>
      <w:pPr>
        <w:pStyle w:val="ListParagraph"/>
        <w:numPr>
          <w:ilvl w:val="0"/>
          <w:numId w:val="3"/>
        </w:numPr>
        <w:spacing w:before="60" w:after="60"/>
      </w:pPr>
      <w:r>
        <w:rPr>
          <w:rFonts w:ascii="Arial" w:cs="Arial" w:eastAsia="Arial" w:hAnsi="Arial"/>
          <w:sz w:val="22"/>
          <w:szCs w:val="22"/>
        </w:rPr>
        <w:t xml:space="preserve">Vision LLM Inference: The final stitched images are fed into Qwen-VL to directly output a single, well-formed Markdown table without fragmentation.</w:t>
      </w:r>
    </w:p>
    <w:p>
      <w:pPr>
        <w:pStyle w:val="Heading2"/>
        <w:spacing w:before="280" w:after="140"/>
      </w:pPr>
      <w:r>
        <w:rPr>
          <w:rFonts w:ascii="Arial" w:cs="Arial" w:eastAsia="Arial" w:hAnsi="Arial"/>
          <w:b/>
          <w:bCs/>
          <w:color w:val="2E5596"/>
          <w:sz w:val="28"/>
          <w:szCs w:val="28"/>
        </w:rPr>
        <w:t xml:space="preserve">4.4 Visual-Hybrid vs. Pure VLLM Strategies</w:t>
      </w:r>
    </w:p>
    <w:p>
      <w:pPr>
        <w:pStyle w:val="Heading3"/>
        <w:spacing w:before="200" w:after="100"/>
      </w:pPr>
      <w:r>
        <w:rPr>
          <w:rFonts w:ascii="Arial" w:cs="Arial" w:eastAsia="Arial" w:hAnsi="Arial"/>
          <w:b/>
          <w:bCs/>
          <w:color w:val="2E5596"/>
          <w:sz w:val="24"/>
          <w:szCs w:val="24"/>
        </w:rPr>
        <w:t xml:space="preserve">Visual-Hybrid (Text via PyMuPDF, Tables/Figures via VLLM)</w:t>
      </w:r>
    </w:p>
    <w:p>
      <w:pPr>
        <w:pStyle w:val="ListParagraph"/>
        <w:numPr>
          <w:ilvl w:val="0"/>
          <w:numId w:val="2"/>
        </w:numPr>
        <w:spacing w:before="60" w:after="60"/>
      </w:pPr>
      <w:r>
        <w:rPr>
          <w:rFonts w:ascii="Arial" w:cs="Arial" w:eastAsia="Arial" w:hAnsi="Arial"/>
          <w:sz w:val="22"/>
          <w:szCs w:val="22"/>
        </w:rPr>
        <w:t xml:space="preserve">Pros: Extremely fast processing for bulk text. Zero hallucination risk for standard paragraphs read directly from the binary stream. Cost-effective, as token-heavy LLM inference is reserved for complex visual elements.</w:t>
      </w:r>
    </w:p>
    <w:p>
      <w:pPr>
        <w:pStyle w:val="ListParagraph"/>
        <w:numPr>
          <w:ilvl w:val="0"/>
          <w:numId w:val="2"/>
        </w:numPr>
        <w:spacing w:before="60" w:after="60"/>
      </w:pPr>
      <w:r>
        <w:rPr>
          <w:rFonts w:ascii="Arial" w:cs="Arial" w:eastAsia="Arial" w:hAnsi="Arial"/>
          <w:sz w:val="22"/>
          <w:szCs w:val="22"/>
        </w:rPr>
        <w:t xml:space="preserve">Cons: Pipeline success depends on layout detection accuracy. If the detection model fails to bound a table correctly or misses a table entirely, downstream inference receives flawed crops.</w:t>
      </w:r>
    </w:p>
    <w:p>
      <w:pPr>
        <w:pStyle w:val="Heading3"/>
        <w:spacing w:before="200" w:after="100"/>
      </w:pPr>
      <w:r>
        <w:rPr>
          <w:rFonts w:ascii="Arial" w:cs="Arial" w:eastAsia="Arial" w:hAnsi="Arial"/>
          <w:b/>
          <w:bCs/>
          <w:color w:val="2E5596"/>
          <w:sz w:val="24"/>
          <w:szCs w:val="24"/>
        </w:rPr>
        <w:t xml:space="preserve">Pure VLLM (Entire Page via VLLM)</w:t>
      </w:r>
    </w:p>
    <w:p>
      <w:pPr>
        <w:pStyle w:val="ListParagraph"/>
        <w:numPr>
          <w:ilvl w:val="0"/>
          <w:numId w:val="2"/>
        </w:numPr>
        <w:spacing w:before="60" w:after="60"/>
      </w:pPr>
      <w:r>
        <w:rPr>
          <w:rFonts w:ascii="Arial" w:cs="Arial" w:eastAsia="Arial" w:hAnsi="Arial"/>
          <w:sz w:val="22"/>
          <w:szCs w:val="22"/>
        </w:rPr>
        <w:t xml:space="preserve">Pros: Eliminates the need for a separate layout detection module. The model inherently understands the semantic flow of an entire page.</w:t>
      </w:r>
    </w:p>
    <w:p>
      <w:pPr>
        <w:pStyle w:val="ListParagraph"/>
        <w:numPr>
          <w:ilvl w:val="0"/>
          <w:numId w:val="2"/>
        </w:numPr>
        <w:spacing w:before="60" w:after="60"/>
      </w:pPr>
      <w:r>
        <w:rPr>
          <w:rFonts w:ascii="Arial" w:cs="Arial" w:eastAsia="Arial" w:hAnsi="Arial"/>
          <w:sz w:val="22"/>
          <w:szCs w:val="22"/>
        </w:rPr>
        <w:t xml:space="preserve">Cons: Extremely slow and computationally expensive for massive specifications. Susceptible to hallucinations in standard text and 'attention fading'—casually skipping paragraphs or truncating tables toward the bottom of a dense page.</w:t>
      </w:r>
    </w:p>
    <w:p>
      <w:pPr>
        <w:spacing w:before="40" w:after="40"/>
      </w:pPr>
      <w:r>
        <w:t xml:space="preserve"/>
      </w:r>
    </w:p>
    <w:p>
      <w:pPr>
        <w:spacing w:before="80" w:after="120"/>
        <w:jc w:val="both"/>
      </w:pPr>
      <w:r>
        <w:rPr>
          <w:rFonts w:ascii="Arial" w:cs="Arial" w:eastAsia="Arial" w:hAnsi="Arial"/>
          <w:sz w:val="22"/>
          <w:szCs w:val="22"/>
        </w:rPr>
        <w:t xml:space="preserve">Our pipeline adopts the Visual-Hybrid architecture to secure the deterministic accuracy of text extraction while achieving maximum table fidelity, using the Section-Based method to compensate for the flow-awareness gap.</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5. Implementation Details</w:t>
      </w:r>
    </w:p>
    <w:p>
      <w:pPr>
        <w:pStyle w:val="Heading2"/>
        <w:spacing w:before="280" w:after="140"/>
      </w:pPr>
      <w:r>
        <w:rPr>
          <w:rFonts w:ascii="Arial" w:cs="Arial" w:eastAsia="Arial" w:hAnsi="Arial"/>
          <w:b/>
          <w:bCs/>
          <w:color w:val="2E5596"/>
          <w:sz w:val="28"/>
          <w:szCs w:val="28"/>
        </w:rPr>
        <w:t xml:space="preserve">5.1 Technology Stack</w:t>
      </w:r>
    </w:p>
    <w:p>
      <w:pPr>
        <w:pStyle w:val="ListParagraph"/>
        <w:numPr>
          <w:ilvl w:val="0"/>
          <w:numId w:val="2"/>
        </w:numPr>
        <w:spacing w:before="60" w:after="60"/>
      </w:pPr>
      <w:r>
        <w:rPr>
          <w:rFonts w:ascii="Arial" w:cs="Arial" w:eastAsia="Arial" w:hAnsi="Arial"/>
          <w:sz w:val="22"/>
          <w:szCs w:val="22"/>
        </w:rPr>
        <w:t xml:space="preserve">Core Engine: Python-based batch processing pipeline.</w:t>
      </w:r>
    </w:p>
    <w:p>
      <w:pPr>
        <w:pStyle w:val="ListParagraph"/>
        <w:numPr>
          <w:ilvl w:val="0"/>
          <w:numId w:val="2"/>
        </w:numPr>
        <w:spacing w:before="60" w:after="60"/>
      </w:pPr>
      <w:r>
        <w:rPr>
          <w:rFonts w:ascii="Arial" w:cs="Arial" w:eastAsia="Arial" w:hAnsi="Arial"/>
          <w:sz w:val="22"/>
          <w:szCs w:val="22"/>
        </w:rPr>
        <w:t xml:space="preserve">Vision Model: Qwen2.5-VL-72B (via OpenAI-compatible API) for production; Qwen2-VL-7B (via Ollama) as a local fallback.</w:t>
      </w:r>
    </w:p>
    <w:p>
      <w:pPr>
        <w:pStyle w:val="ListParagraph"/>
        <w:numPr>
          <w:ilvl w:val="0"/>
          <w:numId w:val="2"/>
        </w:numPr>
        <w:spacing w:before="60" w:after="60"/>
      </w:pPr>
      <w:r>
        <w:rPr>
          <w:rFonts w:ascii="Arial" w:cs="Arial" w:eastAsia="Arial" w:hAnsi="Arial"/>
          <w:sz w:val="22"/>
          <w:szCs w:val="22"/>
        </w:rPr>
        <w:t xml:space="preserve">Helper Libraries: pdf2image for rendering, BeautifulSoup for post-processing HTML/Markdown output.</w:t>
      </w:r>
    </w:p>
    <w:p>
      <w:pPr>
        <w:pStyle w:val="Heading2"/>
        <w:spacing w:before="280" w:after="140"/>
      </w:pPr>
      <w:r>
        <w:rPr>
          <w:rFonts w:ascii="Arial" w:cs="Arial" w:eastAsia="Arial" w:hAnsi="Arial"/>
          <w:b/>
          <w:bCs/>
          <w:color w:val="2E5596"/>
          <w:sz w:val="28"/>
          <w:szCs w:val="28"/>
        </w:rPr>
        <w:t xml:space="preserve">5.2 Vision LLM Evaluation &amp; Selection</w:t>
      </w:r>
    </w:p>
    <w:p>
      <w:pPr>
        <w:spacing w:before="80" w:after="120"/>
        <w:jc w:val="both"/>
      </w:pPr>
      <w:r>
        <w:rPr>
          <w:rFonts w:ascii="Arial" w:cs="Arial" w:eastAsia="Arial" w:hAnsi="Arial"/>
          <w:sz w:val="22"/>
          <w:szCs w:val="22"/>
        </w:rPr>
        <w:t xml:space="preserve">We evaluated several state-of-the-art vision models to determine the optimal balance between cost, speed, and complex table reasoning capabilities: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5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Size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in Pipeline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Characteristics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DeepSeek-OCR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Layout Analysis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Fast and lightweight. Excellent for bounding box detection. Cannot reconstruct complex table structures.</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left"/>
            </w:pPr>
            <w:r>
              <w:rPr>
                <w:rFonts w:ascii="Arial" w:cs="Arial" w:eastAsia="Arial" w:hAnsi="Arial"/>
                <w:sz w:val="18"/>
                <w:szCs w:val="18"/>
              </w:rPr>
              <w:t xml:space="preserve">GLM-OCR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~2.2GB</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Evaluation Only</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Better than DeepSeek-OCR on standard tables. Fails on irregular or highly sparse tables.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Qwen2.5-VL-72B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~20GB / 72B API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Table Extraction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Exceptional semantic understanding. Correctly infers column alignment from whitespace. Core engine for high-fidelity markdown.</w:t>
            </w:r>
          </w:p>
        </w:tc>
      </w:tr>
    </w:tbl>
    <w:p>
      <w:pPr>
        <w:spacing w:before="40" w:after="40"/>
      </w:pPr>
      <w:r>
        <w:t xml:space="preserve"/>
      </w:r>
    </w:p>
    <w:p>
      <w:pPr>
        <w:spacing w:before="80" w:after="120"/>
        <w:jc w:val="both"/>
      </w:pPr>
      <w:r>
        <w:rPr>
          <w:rFonts w:ascii="Arial" w:cs="Arial" w:eastAsia="Arial" w:hAnsi="Arial"/>
          <w:sz w:val="22"/>
          <w:szCs w:val="22"/>
        </w:rPr>
        <w:t xml:space="preserve">We integrated DeepSeek-OCR strictly for its strength in Layout Analysis (Step 1) to generate bounding box coordinates, while utilizing Qwen-VL as the core engine for visual rendering and markdown table extraction (Step 4).</w:t>
      </w:r>
    </w:p>
    <w:p>
      <w:pPr>
        <w:pStyle w:val="Heading2"/>
        <w:spacing w:before="280" w:after="140"/>
      </w:pPr>
      <w:r>
        <w:rPr>
          <w:rFonts w:ascii="Arial" w:cs="Arial" w:eastAsia="Arial" w:hAnsi="Arial"/>
          <w:b/>
          <w:bCs/>
          <w:color w:val="2E5596"/>
          <w:sz w:val="28"/>
          <w:szCs w:val="28"/>
        </w:rPr>
        <w:t xml:space="preserve">5.3 Key Visual Parsing Logic</w:t>
      </w:r>
    </w:p>
    <w:p>
      <w:pPr>
        <w:spacing w:before="80" w:after="120"/>
        <w:jc w:val="both"/>
      </w:pPr>
      <w:r>
        <w:rPr>
          <w:rFonts w:ascii="Arial" w:cs="Arial" w:eastAsia="Arial" w:hAnsi="Arial"/>
          <w:sz w:val="22"/>
          <w:szCs w:val="22"/>
        </w:rPr>
        <w:t xml:space="preserve">The step4_llm_parser.py module implements the core logic with the following features:</w:t>
      </w:r>
    </w:p>
    <w:p>
      <w:pPr>
        <w:pStyle w:val="ListParagraph"/>
        <w:numPr>
          <w:ilvl w:val="0"/>
          <w:numId w:val="2"/>
        </w:numPr>
        <w:spacing w:before="60" w:after="60"/>
      </w:pPr>
      <w:r>
        <w:rPr>
          <w:rFonts w:ascii="Arial" w:cs="Arial" w:eastAsia="Arial" w:hAnsi="Arial"/>
          <w:sz w:val="22"/>
          <w:szCs w:val="22"/>
        </w:rPr>
        <w:t xml:space="preserve">Image Preprocessing: Validates image dimensions to ensure they fit within the LLM's context window, resizing only when strictly necessary to avoid token overflow.</w:t>
      </w:r>
    </w:p>
    <w:p>
      <w:pPr>
        <w:pStyle w:val="ListParagraph"/>
        <w:numPr>
          <w:ilvl w:val="0"/>
          <w:numId w:val="2"/>
        </w:numPr>
        <w:spacing w:before="60" w:after="60"/>
      </w:pPr>
      <w:r>
        <w:rPr>
          <w:rFonts w:ascii="Arial" w:cs="Arial" w:eastAsia="Arial" w:hAnsi="Arial"/>
          <w:sz w:val="22"/>
          <w:szCs w:val="22"/>
        </w:rPr>
        <w:t xml:space="preserve">Prompt Engineering: A robust system prompt that enforces preservation of verbatim cell content (especially hexadecimal values), handling of multi-line cells using &lt;br&gt; tags rather than splitting rows, and explicit instruction to ignore page footer/header noise captured in the crop.</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6. Experimental Results &amp; Evaluation</w:t>
      </w:r>
    </w:p>
    <w:p>
      <w:pPr>
        <w:pStyle w:val="Heading2"/>
        <w:spacing w:before="280" w:after="140"/>
      </w:pPr>
      <w:r>
        <w:rPr>
          <w:rFonts w:ascii="Arial" w:cs="Arial" w:eastAsia="Arial" w:hAnsi="Arial"/>
          <w:b/>
          <w:bCs/>
          <w:color w:val="2E5596"/>
          <w:sz w:val="28"/>
          <w:szCs w:val="28"/>
        </w:rPr>
        <w:t xml:space="preserve">6.1 Dataset and Setup</w:t>
      </w:r>
    </w:p>
    <w:p>
      <w:pPr>
        <w:spacing w:before="80" w:after="120"/>
        <w:jc w:val="both"/>
      </w:pPr>
      <w:r>
        <w:rPr>
          <w:rFonts w:ascii="Arial" w:cs="Arial" w:eastAsia="Arial" w:hAnsi="Arial"/>
          <w:sz w:val="22"/>
          <w:szCs w:val="22"/>
        </w:rPr>
        <w:t xml:space="preserve">To evaluate robustness across diverse document structures, we tested four distinct technical specifications, each presenting unique table extraction challenges:</w:t>
      </w:r>
    </w:p>
    <w:p>
      <w:pPr>
        <w:pStyle w:val="ListParagraph"/>
        <w:numPr>
          <w:ilvl w:val="0"/>
          <w:numId w:val="3"/>
        </w:numPr>
        <w:spacing w:before="60" w:after="60"/>
      </w:pPr>
      <w:r>
        <w:rPr>
          <w:rFonts w:ascii="Arial" w:cs="Arial" w:eastAsia="Arial" w:hAnsi="Arial"/>
          <w:sz w:val="22"/>
          <w:szCs w:val="22"/>
        </w:rPr>
        <w:t xml:space="preserve">TCG Storage Opal SSC v2.30 &amp; TCG Storage Architecture Core Spec v2.01: Distinct labels for Tables and Figures. Multi-page tables frequently omit titles on continuation pages. Challenge: contextually linking title-less table fragments and merging them with the preceding titled table.</w:t>
      </w:r>
    </w:p>
    <w:p>
      <w:pPr>
        <w:pStyle w:val="ListParagraph"/>
        <w:numPr>
          <w:ilvl w:val="0"/>
          <w:numId w:val="3"/>
        </w:numPr>
        <w:spacing w:before="60" w:after="60"/>
      </w:pPr>
      <w:r>
        <w:rPr>
          <w:rFonts w:ascii="Arial" w:cs="Arial" w:eastAsia="Arial" w:hAnsi="Arial"/>
          <w:sz w:val="22"/>
          <w:szCs w:val="22"/>
        </w:rPr>
        <w:t xml:space="preserve">NVMe Base Specification (Rev 2.03): Both tables and images are captioned as 'Figure'. Features highly complex nested tables. Challenge: merging tables based on repeated identical titles, handling table-in-table hierarchies, and distinguishing text-based tables from actual pictures.</w:t>
      </w:r>
    </w:p>
    <w:p>
      <w:pPr>
        <w:pStyle w:val="ListParagraph"/>
        <w:numPr>
          <w:ilvl w:val="0"/>
          <w:numId w:val="3"/>
        </w:numPr>
        <w:spacing w:before="60" w:after="60"/>
      </w:pPr>
      <w:r>
        <w:rPr>
          <w:rFonts w:ascii="Arial" w:cs="Arial" w:eastAsia="Arial" w:hAnsi="Arial"/>
          <w:sz w:val="22"/>
          <w:szCs w:val="22"/>
        </w:rPr>
        <w:t xml:space="preserve">Datacenter NVMe SSD Specification v2.0r21 (OCP): Tables completely lack explicit titles or captions. Multi-page tables preserve table headers on the next page. Challenge: grouping isolated, title-less table fragments based purely on their presence within the same logical section boundary.</w:t>
      </w:r>
    </w:p>
    <w:p>
      <w:pPr>
        <w:spacing w:before="40" w:after="40"/>
      </w:pPr>
      <w:r>
        <w:t xml:space="preserve"/>
      </w:r>
    </w:p>
    <w:p>
      <w:pPr>
        <w:spacing w:before="80" w:after="120"/>
        <w:jc w:val="both"/>
      </w:pPr>
      <w:r>
        <w:rPr>
          <w:rFonts w:ascii="Arial" w:cs="Arial" w:eastAsia="Arial" w:hAnsi="Arial"/>
          <w:sz w:val="22"/>
          <w:szCs w:val="22"/>
        </w:rPr>
        <w:t xml:space="preserve">Hardware Setup: NVIDIA RTX 4090 for local inference and Cloud Vision API for robust production processing.</w:t>
      </w:r>
    </w:p>
    <w:p>
      <w:pPr>
        <w:pStyle w:val="Heading2"/>
        <w:spacing w:before="280" w:after="140"/>
      </w:pPr>
      <w:r>
        <w:rPr>
          <w:rFonts w:ascii="Arial" w:cs="Arial" w:eastAsia="Arial" w:hAnsi="Arial"/>
          <w:b/>
          <w:bCs/>
          <w:color w:val="2E5596"/>
          <w:sz w:val="28"/>
          <w:szCs w:val="28"/>
        </w:rPr>
        <w:t xml:space="preserve">6.2 Quantitative Performance</w:t>
      </w:r>
    </w:p>
    <w:p>
      <w:pPr>
        <w:spacing w:before="80" w:after="120"/>
        <w:jc w:val="both"/>
      </w:pPr>
      <w:r>
        <w:rPr>
          <w:rFonts w:ascii="Arial" w:cs="Arial" w:eastAsia="Arial" w:hAnsi="Arial"/>
          <w:sz w:val="22"/>
          <w:szCs w:val="22"/>
        </w:rPr>
        <w:t xml:space="preserve">We measured Table Recognition accuracy using a cell-by-cell F1 metric for structural and content fidelity across 6 parsing methods and state-of-the-art LLMs. The dataset included manually verified ground truths from pages 34–36 of the TCG Opal specification.</w:t>
      </w:r>
    </w:p>
    <w:p>
      <w:pPr>
        <w:spacing w:before="40" w:after="40"/>
      </w:pPr>
      <w:r>
        <w:t xml:space="preserve"/>
      </w:r>
    </w:p>
    <w:p>
      <w:pPr>
        <w:spacing w:before="80" w:after="80"/>
        <w:jc w:val="center"/>
      </w:pPr>
      <w:r>
        <w:rPr>
          <w:rFonts w:ascii="Arial" w:cs="Arial" w:eastAsia="Arial" w:hAnsi="Arial"/>
          <w:b/>
          <w:bCs/>
          <w:i/>
          <w:iCs/>
          <w:color w:val="333333"/>
          <w:sz w:val="20"/>
          <w:szCs w:val="20"/>
        </w:rPr>
        <w:t xml:space="preserve">Table 1: F1 Score (%) Comparison Across Parsing Methods and Table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60"/>
        <w:gridCol w:w="1060"/>
        <w:gridCol w:w="1060"/>
        <w:gridCol w:w="1060"/>
        <w:gridCol w:w="1060"/>
        <w:gridCol w:w="18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PyMuPDF</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DeepSeek-OCR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GLM-OCR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 Opus 4.5</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Gemini 3.0 Pro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Section-Hybrid Qwen-VL (Ours)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Simple Grid Tables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left"/>
            </w:pPr>
            <w:r>
              <w:rPr>
                <w:rFonts w:ascii="Arial" w:cs="Arial" w:eastAsia="Arial" w:hAnsi="Arial"/>
                <w:sz w:val="18"/>
                <w:szCs w:val="18"/>
              </w:rPr>
              <w:t xml:space="preserve">Complex Nested Tables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33.3</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Sparse Tables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58.3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left"/>
            </w:pPr>
            <w:r>
              <w:rPr>
                <w:rFonts w:ascii="Arial" w:cs="Arial" w:eastAsia="Arial" w:hAnsi="Arial"/>
                <w:sz w:val="18"/>
                <w:szCs w:val="18"/>
              </w:rPr>
              <w:t xml:space="preserve">Multi-page Stitched Tables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73.3</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73.3</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73.3</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87.8</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36.8</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pPr>
              <w:jc w:val="center"/>
            </w:pPr>
            <w:r>
              <w:rPr>
                <w:rFonts w:ascii="Arial" w:cs="Arial" w:eastAsia="Arial" w:hAnsi="Arial"/>
                <w:sz w:val="18"/>
                <w:szCs w:val="18"/>
              </w:rPr>
              <w:t xml:space="preserve">100.0</w:t>
            </w:r>
          </w:p>
        </w:tc>
      </w:tr>
    </w:tbl>
    <w:p>
      <w:pPr>
        <w:spacing w:before="80" w:after="200"/>
        <w:jc w:val="center"/>
      </w:pPr>
      <w:r>
        <w:rPr>
          <w:rFonts w:ascii="Arial" w:cs="Arial" w:eastAsia="Arial" w:hAnsi="Arial"/>
          <w:i/>
          <w:iCs/>
          <w:color w:val="666666"/>
          <w:sz w:val="18"/>
          <w:szCs w:val="18"/>
        </w:rPr>
        <w:t xml:space="preserve">Bold indicates best result. Section-Hybrid Qwen-VL achieves 100% across all categories.</w:t>
      </w:r>
    </w:p>
    <w:p>
      <w:pPr>
        <w:pStyle w:val="Heading2"/>
        <w:spacing w:before="280" w:after="140"/>
      </w:pPr>
      <w:r>
        <w:rPr>
          <w:rFonts w:ascii="Arial" w:cs="Arial" w:eastAsia="Arial" w:hAnsi="Arial"/>
          <w:b/>
          <w:bCs/>
          <w:color w:val="2E5596"/>
          <w:sz w:val="28"/>
          <w:szCs w:val="28"/>
        </w:rPr>
        <w:t xml:space="preserve">6.3 Analysis of LLM Failures on Multi-Page Tables</w:t>
      </w:r>
    </w:p>
    <w:p>
      <w:pPr>
        <w:spacing w:before="80" w:after="120"/>
        <w:jc w:val="both"/>
      </w:pPr>
      <w:r>
        <w:rPr>
          <w:rFonts w:ascii="Arial" w:cs="Arial" w:eastAsia="Arial" w:hAnsi="Arial"/>
          <w:sz w:val="22"/>
          <w:szCs w:val="22"/>
        </w:rPr>
        <w:t xml:space="preserve">While state-of-the-art commercial models generate aesthetically pleasing Markdown for complex static tables, our rigorous structural F1 evaluation revealed critical blind spots when processing fragmented multi-page tables:</w:t>
      </w:r>
    </w:p>
    <w:p>
      <w:pPr>
        <w:pStyle w:val="ListParagraph"/>
        <w:numPr>
          <w:ilvl w:val="0"/>
          <w:numId w:val="2"/>
        </w:numPr>
        <w:spacing w:before="60" w:after="60"/>
      </w:pPr>
      <w:r>
        <w:rPr>
          <w:rFonts w:ascii="Arial" w:cs="Arial" w:eastAsia="Arial" w:hAnsi="Arial"/>
          <w:sz w:val="22"/>
          <w:szCs w:val="22"/>
        </w:rPr>
        <w:t xml:space="preserve">Page-by-Page Truncation (PyMuPDF, DeepSeek-OCR, GLM-OCR — 73.3% F1): Standard models lack cross-page context or spatial stitching, completely missing table data rows that extend onto subsequent pages.</w:t>
      </w:r>
    </w:p>
    <w:p>
      <w:pPr>
        <w:pStyle w:val="ListParagraph"/>
        <w:numPr>
          <w:ilvl w:val="0"/>
          <w:numId w:val="2"/>
        </w:numPr>
        <w:spacing w:before="60" w:after="60"/>
      </w:pPr>
      <w:r>
        <w:rPr>
          <w:rFonts w:ascii="Arial" w:cs="Arial" w:eastAsia="Arial" w:hAnsi="Arial"/>
          <w:sz w:val="22"/>
          <w:szCs w:val="22"/>
        </w:rPr>
        <w:t xml:space="preserve">Claude Opus 4.5 (87.8% F1): Successfully identified all 15 column headers across the page split. However, suffered from 'attention fading' and silently truncated bottom data rows after the page break, resulting in missing information.</w:t>
      </w:r>
    </w:p>
    <w:p>
      <w:pPr>
        <w:pStyle w:val="ListParagraph"/>
        <w:numPr>
          <w:ilvl w:val="0"/>
          <w:numId w:val="2"/>
        </w:numPr>
        <w:spacing w:before="60" w:after="60"/>
      </w:pPr>
      <w:r>
        <w:rPr>
          <w:rFonts w:ascii="Arial" w:cs="Arial" w:eastAsia="Arial" w:hAnsi="Arial"/>
          <w:sz w:val="22"/>
          <w:szCs w:val="22"/>
        </w:rPr>
        <w:t xml:space="preserve">Gemini 3.0 Pro (36.8% F1): Exhibited severe structural hallucination (condensation). Instead of preserving the complex 15-column layout, it arbitrarily merged data into a highly condensed 4-column CSV-like structure. While human-readable as a summary, this catastrophic loss of structural fidelity makes the output entirely useless for programmatic data extraction.</w:t>
      </w:r>
    </w:p>
    <w:p>
      <w:pPr>
        <w:pStyle w:val="ListParagraph"/>
        <w:numPr>
          <w:ilvl w:val="0"/>
          <w:numId w:val="2"/>
        </w:numPr>
        <w:spacing w:before="60" w:after="60"/>
      </w:pPr>
      <w:r>
        <w:rPr>
          <w:rFonts w:ascii="Arial" w:cs="Arial" w:eastAsia="Arial" w:hAnsi="Arial"/>
          <w:sz w:val="22"/>
          <w:szCs w:val="22"/>
        </w:rPr>
        <w:t xml:space="preserve">Section-Hybrid Qwen-VL (100.0% F1): By physically stitching disjointed table fragments into a single coherent image before VLM inference, our pipeline fundamentally bypassed the contextual fragmentation that caused giant LLMs to hallucinate or truncate, yielding perfect structural and content recreation.</w:t>
      </w:r>
    </w:p>
    <w:p>
      <w:pPr>
        <w:pStyle w:val="Heading2"/>
        <w:spacing w:before="280" w:after="140"/>
      </w:pPr>
      <w:r>
        <w:rPr>
          <w:rFonts w:ascii="Arial" w:cs="Arial" w:eastAsia="Arial" w:hAnsi="Arial"/>
          <w:b/>
          <w:bCs/>
          <w:color w:val="2E5596"/>
          <w:sz w:val="28"/>
          <w:szCs w:val="28"/>
        </w:rPr>
        <w:t xml:space="preserve">6.4 Concrete Parsing Examples</w:t>
      </w:r>
    </w:p>
    <w:p>
      <w:pPr>
        <w:pStyle w:val="Heading3"/>
        <w:spacing w:before="200" w:after="100"/>
      </w:pPr>
      <w:r>
        <w:rPr>
          <w:rFonts w:ascii="Arial" w:cs="Arial" w:eastAsia="Arial" w:hAnsi="Arial"/>
          <w:b/>
          <w:bCs/>
          <w:color w:val="2E5596"/>
          <w:sz w:val="24"/>
          <w:szCs w:val="24"/>
        </w:rPr>
        <w:t xml:space="preserve">Example 1: Multi-Page Stitching (TCG Opal Section 4.2.1.2 — SPTemplates)</w:t>
      </w:r>
    </w:p>
    <w:p>
      <w:pPr>
        <w:spacing w:before="80" w:after="120"/>
        <w:jc w:val="both"/>
      </w:pPr>
      <w:r>
        <w:rPr>
          <w:rFonts w:ascii="Arial" w:cs="Arial" w:eastAsia="Arial" w:hAnsi="Arial"/>
          <w:sz w:val="22"/>
          <w:szCs w:val="22"/>
        </w:rPr>
        <w:t xml:space="preserve">Rule-based parsers treat Table 19 in Section 4.2.1.2 as two disconnected tables because the bottom row is cut off on page 35 and continues on page 36 without a repeating title. Our Section-Based Layout detector assigns both table bounding boxes to the '4.2.1.2 SPTemplates' hierarchy, automatically identifying them as parts of a whole. The pipeline stitches the two images together along the page break, and Qwen-VL receives a single, unified image—seamlessly linking multi-line UID values that were physically split across the page boundary—producing a flawless markdown table.</w:t>
      </w:r>
    </w:p>
    <w:p>
      <w:pPr>
        <w:pStyle w:val="Heading3"/>
        <w:spacing w:before="200" w:after="100"/>
      </w:pPr>
      <w:r>
        <w:rPr>
          <w:rFonts w:ascii="Arial" w:cs="Arial" w:eastAsia="Arial" w:hAnsi="Arial"/>
          <w:b/>
          <w:bCs/>
          <w:color w:val="2E5596"/>
          <w:sz w:val="24"/>
          <w:szCs w:val="24"/>
        </w:rPr>
        <w:t xml:space="preserve">Example 2: Ultra-Complex Sparse Tables (TCG Opal Section 4.2.1.5 — AccessControl)</w:t>
      </w:r>
    </w:p>
    <w:p>
      <w:pPr>
        <w:spacing w:before="80" w:after="120"/>
        <w:jc w:val="both"/>
      </w:pPr>
      <w:r>
        <w:rPr>
          <w:rFonts w:ascii="Arial" w:cs="Arial" w:eastAsia="Arial" w:hAnsi="Arial"/>
          <w:sz w:val="22"/>
          <w:szCs w:val="22"/>
        </w:rPr>
        <w:t xml:space="preserve">Table 22: AccessControl spans 9 pages (pages 38–46), has 16 columns of highly dense hex data interspersed with large empty cells, and contains repeated intermediate headers on every new page. Qwen-VL perfectly mapped the sparse cells, interpreting empty spaces as structural alignment rather than shifting data leftward. It also intelligently absorbed the repeating column headers as layout artifacts, preventing the markdown table from being fragmented by redundant header rows.</w:t>
      </w:r>
    </w:p>
    <w:p>
      <w:pPr>
        <w:pStyle w:val="Heading2"/>
        <w:spacing w:before="280" w:after="140"/>
      </w:pPr>
      <w:r>
        <w:rPr>
          <w:rFonts w:ascii="Arial" w:cs="Arial" w:eastAsia="Arial" w:hAnsi="Arial"/>
          <w:b/>
          <w:bCs/>
          <w:color w:val="2E5596"/>
          <w:sz w:val="28"/>
          <w:szCs w:val="28"/>
        </w:rPr>
        <w:t xml:space="preserve">6.5 Qualitative Findings</w:t>
      </w:r>
    </w:p>
    <w:p>
      <w:pPr>
        <w:pStyle w:val="ListParagraph"/>
        <w:numPr>
          <w:ilvl w:val="0"/>
          <w:numId w:val="2"/>
        </w:numPr>
        <w:spacing w:before="60" w:after="60"/>
      </w:pPr>
      <w:r>
        <w:rPr>
          <w:rFonts w:ascii="Arial" w:cs="Arial" w:eastAsia="Arial" w:hAnsi="Arial"/>
          <w:sz w:val="22"/>
          <w:szCs w:val="22"/>
        </w:rPr>
        <w:t xml:space="preserve">Accuracy vs. Cost: The Vision LLM approach is approximately 40x slower than the rule-based approach. However, in the context of creating a static derived dataset (done once), this cost is negligible compared to the manual engineering hours required to fix broken rule-based outputs.</w:t>
      </w:r>
    </w:p>
    <w:p>
      <w:pPr>
        <w:pStyle w:val="ListParagraph"/>
        <w:numPr>
          <w:ilvl w:val="0"/>
          <w:numId w:val="2"/>
        </w:numPr>
        <w:spacing w:before="60" w:after="60"/>
      </w:pPr>
      <w:r>
        <w:rPr>
          <w:rFonts w:ascii="Arial" w:cs="Arial" w:eastAsia="Arial" w:hAnsi="Arial"/>
          <w:sz w:val="22"/>
          <w:szCs w:val="22"/>
        </w:rPr>
        <w:t xml:space="preserve">Self-Correction: The VLM demonstrated emergent capabilities, such as correcting minor OCR artifacts by inferring the correct value from context (e.g., correcting '0xO1' to '0x01' in hex columns).</w:t>
      </w:r>
    </w:p>
    <w:p>
      <w:pPr>
        <w:spacing w:before="40" w:after="40"/>
      </w:pPr>
      <w:r>
        <w:t xml:space="preserve"/>
      </w:r>
    </w:p>
    <w:p>
      <w:pPr>
        <w:pStyle w:val="Heading1"/>
        <w:spacing w:before="360" w:after="180"/>
      </w:pPr>
      <w:r>
        <w:rPr>
          <w:rFonts w:ascii="Arial" w:cs="Arial" w:eastAsia="Arial" w:hAnsi="Arial"/>
          <w:b/>
          <w:bCs/>
          <w:color w:val="1F3864"/>
          <w:sz w:val="36"/>
          <w:szCs w:val="36"/>
        </w:rPr>
        <w:t xml:space="preserve">7. Application and Conclusion</w:t>
      </w:r>
    </w:p>
    <w:p>
      <w:pPr>
        <w:pStyle w:val="Heading2"/>
        <w:spacing w:before="280" w:after="140"/>
      </w:pPr>
      <w:r>
        <w:rPr>
          <w:rFonts w:ascii="Arial" w:cs="Arial" w:eastAsia="Arial" w:hAnsi="Arial"/>
          <w:b/>
          <w:bCs/>
          <w:color w:val="2E5596"/>
          <w:sz w:val="28"/>
          <w:szCs w:val="28"/>
        </w:rPr>
        <w:t xml:space="preserve">7.1 End-to-End Processing Flow &amp; RAG Integration</w:t>
      </w:r>
    </w:p>
    <w:p>
      <w:pPr>
        <w:spacing w:before="80" w:after="120"/>
        <w:jc w:val="both"/>
      </w:pPr>
      <w:r>
        <w:rPr>
          <w:rFonts w:ascii="Arial" w:cs="Arial" w:eastAsia="Arial" w:hAnsi="Arial"/>
          <w:sz w:val="22"/>
          <w:szCs w:val="22"/>
        </w:rPr>
        <w:t xml:space="preserve">To maximize utility of the extracted technical specifications, our pipeline is designed not just to parse data, but to feed directly into an automated reasoning system. The overall architecture flows from raw PDF ingestion to Retrieval-Augmented Generation (RAG), as follows:</w:t>
      </w:r>
    </w:p>
    <w:p>
      <w:pPr>
        <w:pStyle w:val="ListParagraph"/>
        <w:numPr>
          <w:ilvl w:val="0"/>
          <w:numId w:val="3"/>
        </w:numPr>
        <w:spacing w:before="60" w:after="60"/>
      </w:pPr>
      <w:r>
        <w:rPr>
          <w:rFonts w:ascii="Arial" w:cs="Arial" w:eastAsia="Arial" w:hAnsi="Arial"/>
          <w:sz w:val="22"/>
          <w:szCs w:val="22"/>
        </w:rPr>
        <w:t xml:space="preserve">Raw PDF Ingestion &amp; Layout Analysis: The document is processed to identify bounding boxes for texts, tables, and figures. The Table of Contents establishes the hierarchical section boundaries.</w:t>
      </w:r>
    </w:p>
    <w:p>
      <w:pPr>
        <w:pStyle w:val="ListParagraph"/>
        <w:numPr>
          <w:ilvl w:val="0"/>
          <w:numId w:val="3"/>
        </w:numPr>
        <w:spacing w:before="60" w:after="60"/>
      </w:pPr>
      <w:r>
        <w:rPr>
          <w:rFonts w:ascii="Arial" w:cs="Arial" w:eastAsia="Arial" w:hAnsi="Arial"/>
          <w:sz w:val="22"/>
          <w:szCs w:val="22"/>
        </w:rPr>
        <w:t xml:space="preserve">Hybrid Extraction (PyMuPDF + VLM): Simple paragraphs are quickly parsed via PyMuPDF. Complex visual elements, including multi-page tables, are stitched together based on section tags and sent to Qwen-VL for high-fidelity markdown generation.</w:t>
      </w:r>
    </w:p>
    <w:p>
      <w:pPr>
        <w:pStyle w:val="ListParagraph"/>
        <w:numPr>
          <w:ilvl w:val="0"/>
          <w:numId w:val="3"/>
        </w:numPr>
        <w:spacing w:before="60" w:after="60"/>
      </w:pPr>
      <w:r>
        <w:rPr>
          <w:rFonts w:ascii="Arial" w:cs="Arial" w:eastAsia="Arial" w:hAnsi="Arial"/>
          <w:sz w:val="22"/>
          <w:szCs w:val="22"/>
        </w:rPr>
        <w:t xml:space="preserve">Hierarchical JSON/MD Merging: Extracted text and structurally perfect markdown tables are merged into a unified JSON schema, strictly organized by their original section hierarchy (e.g., Section 4.2.1.2).</w:t>
      </w:r>
    </w:p>
    <w:p>
      <w:pPr>
        <w:pStyle w:val="ListParagraph"/>
        <w:numPr>
          <w:ilvl w:val="0"/>
          <w:numId w:val="3"/>
        </w:numPr>
        <w:spacing w:before="60" w:after="60"/>
      </w:pPr>
      <w:r>
        <w:rPr>
          <w:rFonts w:ascii="Arial" w:cs="Arial" w:eastAsia="Arial" w:hAnsi="Arial"/>
          <w:sz w:val="22"/>
          <w:szCs w:val="22"/>
        </w:rPr>
        <w:t xml:space="preserve">RAG Vector DB Integration: The hierarchical JSON files serve as pristine embedding chunks for the RAG database. Guaranteed multi-page table stitching and elimination of ghost columns ensure perfectly structured context is fed into the database.</w:t>
      </w:r>
    </w:p>
    <w:p>
      <w:pPr>
        <w:pStyle w:val="ListParagraph"/>
        <w:numPr>
          <w:ilvl w:val="0"/>
          <w:numId w:val="3"/>
        </w:numPr>
        <w:spacing w:before="60" w:after="60"/>
      </w:pPr>
      <w:r>
        <w:rPr>
          <w:rFonts w:ascii="Arial" w:cs="Arial" w:eastAsia="Arial" w:hAnsi="Arial"/>
          <w:sz w:val="22"/>
          <w:szCs w:val="22"/>
        </w:rPr>
        <w:t xml:space="preserve">Automated Test Case Generation: An LLM agent can query this RAG database with complete confidence. For example, when querying 'What is the physical byte sequence for the Activate method?', the LLM retrieves the exact row without hallucination, enabling autonomous generation of flawless C++/Python compliance verification scripts.</w:t>
      </w:r>
    </w:p>
    <w:p>
      <w:pPr>
        <w:spacing w:before="40" w:after="40"/>
      </w:pPr>
      <w:r>
        <w:t xml:space="preserve"/>
      </w:r>
    </w:p>
    <w:p>
      <w:pPr>
        <w:pBdr>
          <w:left w:val="single" w:color="F5A623" w:sz="6" w:space="12"/>
        </w:pBdr>
        <w:shd w:fill="FFF8E1" w:val="clear"/>
        <w:spacing w:before="120" w:after="120"/>
        <w:ind w:left="360" w:right="360"/>
        <w:jc w:val="both"/>
      </w:pPr>
      <w:r>
        <w:rPr>
          <w:rFonts w:ascii="Arial" w:cs="Arial" w:eastAsia="Arial" w:hAnsi="Arial"/>
          <w:i/>
          <w:iCs/>
          <w:sz w:val="21"/>
          <w:szCs w:val="21"/>
        </w:rPr>
        <w:t xml:space="preserve">Key Insight: When building a RAG system for engineering protocols, a single misaligned table column—such as the PyMuPDF ghost column error—corrupts the vector embedding. Our Section-Based Visual-Hybrid Pipeline eliminates these silent failures, ensuring trust in fully automated downstream applications.</w:t>
      </w:r>
    </w:p>
    <w:p>
      <w:pPr>
        <w:pStyle w:val="Heading2"/>
        <w:spacing w:before="280" w:after="140"/>
      </w:pPr>
      <w:r>
        <w:rPr>
          <w:rFonts w:ascii="Arial" w:cs="Arial" w:eastAsia="Arial" w:hAnsi="Arial"/>
          <w:b/>
          <w:bCs/>
          <w:color w:val="2E5596"/>
          <w:sz w:val="28"/>
          <w:szCs w:val="28"/>
        </w:rPr>
        <w:t xml:space="preserve">7.2 Conclusion</w:t>
      </w:r>
    </w:p>
    <w:p>
      <w:pPr>
        <w:spacing w:before="80" w:after="120"/>
        <w:jc w:val="both"/>
      </w:pPr>
      <w:r>
        <w:rPr>
          <w:rFonts w:ascii="Arial" w:cs="Arial" w:eastAsia="Arial" w:hAnsi="Arial"/>
          <w:sz w:val="22"/>
          <w:szCs w:val="22"/>
        </w:rPr>
        <w:t xml:space="preserve">This study demonstrates that for technical specification documents, the traditional trade-off between speed and accuracy is a false economy. The structural complexity and sparsity of technical tables make rule-based parsing inherently unreliable, leading to silent failures that cripple downstream automated applications.</w:t>
      </w:r>
    </w:p>
    <w:p>
      <w:pPr>
        <w:spacing w:before="80" w:after="120"/>
        <w:jc w:val="both"/>
      </w:pPr>
      <w:r>
        <w:rPr>
          <w:rFonts w:ascii="Arial" w:cs="Arial" w:eastAsia="Arial" w:hAnsi="Arial"/>
          <w:sz w:val="22"/>
          <w:szCs w:val="22"/>
        </w:rPr>
        <w:t xml:space="preserve">Our Section-Based Visual-Hybrid Pipeline effectively solves the 'ghost column' and 'misalignment' problems. Furthermore, by physically stitching multi-page visual elements prior to VLM inference, we completely bypassed the contextual fragmentation that traditionally plagues even state-of-the-art LLMs. While computationally more expensive upfront, producing a 100% accurate, structure-preserved dataset provides a robust, zero-hallucination foundation for RAG infrastructure and automated specification compliance.</w:t>
      </w:r>
    </w:p>
    <w:p>
      <w:pPr>
        <w:spacing w:before="80" w:after="120"/>
        <w:jc w:val="both"/>
      </w:pPr>
      <w:r>
        <w:rPr>
          <w:rFonts w:ascii="Arial" w:cs="Arial" w:eastAsia="Arial" w:hAnsi="Arial"/>
          <w:sz w:val="22"/>
          <w:szCs w:val="22"/>
        </w:rPr>
        <w:t xml:space="preserve">Future work will focus on optimizing the VLM context window to handle extremely long tables (10+ pages) without performance degradation, and on developing adaptive prompt engineering strategies that further reduce hallucination risk in edge cases.</w:t>
      </w:r>
    </w:p>
    <w:p>
      <w:pPr>
        <w:spacing w:before="40" w:after="40"/>
      </w:pPr>
      <w:r>
        <w:t xml:space="preserve"/>
      </w:r>
    </w:p>
    <w:p>
      <w:pPr>
        <w:pBdr>
          <w:top w:val="single" w:color="CCCCCC" w:sz="4" w:space="4"/>
        </w:pBdr>
        <w:spacing w:before="360" w:after="120"/>
      </w:pPr>
      <w:r>
        <w:rPr>
          <w:rFonts w:ascii="Arial" w:cs="Arial" w:eastAsia="Arial" w:hAnsi="Arial"/>
          <w:b/>
          <w:bCs/>
          <w:color w:val="1F3864"/>
          <w:sz w:val="26"/>
          <w:szCs w:val="26"/>
        </w:rPr>
        <w:t xml:space="preserve">Key Specifications Referenced</w:t>
      </w:r>
    </w:p>
    <w:p>
      <w:pPr>
        <w:pStyle w:val="ListParagraph"/>
        <w:numPr>
          <w:ilvl w:val="0"/>
          <w:numId w:val="2"/>
        </w:numPr>
        <w:spacing w:before="60" w:after="60"/>
      </w:pPr>
      <w:r>
        <w:rPr>
          <w:rFonts w:ascii="Arial" w:cs="Arial" w:eastAsia="Arial" w:hAnsi="Arial"/>
          <w:sz w:val="22"/>
          <w:szCs w:val="22"/>
        </w:rPr>
        <w:t xml:space="preserve">TCG Storage Opal SSC v2.30 — Trusted Computing Group</w:t>
      </w:r>
    </w:p>
    <w:p>
      <w:pPr>
        <w:pStyle w:val="ListParagraph"/>
        <w:numPr>
          <w:ilvl w:val="0"/>
          <w:numId w:val="2"/>
        </w:numPr>
        <w:spacing w:before="60" w:after="60"/>
      </w:pPr>
      <w:r>
        <w:rPr>
          <w:rFonts w:ascii="Arial" w:cs="Arial" w:eastAsia="Arial" w:hAnsi="Arial"/>
          <w:sz w:val="22"/>
          <w:szCs w:val="22"/>
        </w:rPr>
        <w:t xml:space="preserve">TCG Storage Architecture Core Spec v2.01 — Trusted Computing Group</w:t>
      </w:r>
    </w:p>
    <w:p>
      <w:pPr>
        <w:pStyle w:val="ListParagraph"/>
        <w:numPr>
          <w:ilvl w:val="0"/>
          <w:numId w:val="2"/>
        </w:numPr>
        <w:spacing w:before="60" w:after="60"/>
      </w:pPr>
      <w:r>
        <w:rPr>
          <w:rFonts w:ascii="Arial" w:cs="Arial" w:eastAsia="Arial" w:hAnsi="Arial"/>
          <w:sz w:val="22"/>
          <w:szCs w:val="22"/>
        </w:rPr>
        <w:t xml:space="preserve">NVMe Base Specification Rev 2.03 — NVM Express, Inc.</w:t>
      </w:r>
    </w:p>
    <w:p>
      <w:pPr>
        <w:pStyle w:val="ListParagraph"/>
        <w:numPr>
          <w:ilvl w:val="0"/>
          <w:numId w:val="2"/>
        </w:numPr>
        <w:spacing w:before="60" w:after="60"/>
      </w:pPr>
      <w:r>
        <w:rPr>
          <w:rFonts w:ascii="Arial" w:cs="Arial" w:eastAsia="Arial" w:hAnsi="Arial"/>
          <w:sz w:val="22"/>
          <w:szCs w:val="22"/>
        </w:rPr>
        <w:t xml:space="preserve">Datacenter NVMe SSD Specification v2.0r21 — OCP (Open Compute Project)</w:t>
      </w:r>
    </w:p>
    <w:p>
      <w:pPr>
        <w:pStyle w:val="ListParagraph"/>
        <w:numPr>
          <w:ilvl w:val="0"/>
          <w:numId w:val="2"/>
        </w:numPr>
        <w:spacing w:before="60" w:after="60"/>
      </w:pPr>
      <w:r>
        <w:rPr>
          <w:rFonts w:ascii="Arial" w:cs="Arial" w:eastAsia="Arial" w:hAnsi="Arial"/>
          <w:sz w:val="22"/>
          <w:szCs w:val="22"/>
        </w:rPr>
        <w:t xml:space="preserve">Qwen2.5-VL Technical Report — Alibaba Cloud</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59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2026-02-22T09:36:27.357Z</dcterms:created>
  <dcterms:modified xsi:type="dcterms:W3CDTF">2026-02-22T09:36:27.358Z</dcterms:modified>
</cp:coreProperties>
</file>

<file path=docProps/custom.xml><?xml version="1.0" encoding="utf-8"?>
<Properties xmlns="http://schemas.openxmlformats.org/officeDocument/2006/custom-properties" xmlns:vt="http://schemas.openxmlformats.org/officeDocument/2006/docPropsVTypes"/>
</file>