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Описание диаграмм последовательностей и активности Adaptive AI Planner</w:t>
      </w:r>
    </w:p>
    <w:p>
      <w:pPr>
        <w:pStyle w:val="BodyText"/>
      </w:pPr>
      <w:r>
        <w:t xml:space="preserve">13 диаграмм последовательностей (SD) и 6 диаграмм активности (AD) описывают основные сценарии системы по ТЗ v12 (ФТ-01–ФТ-43). Данные пользователя хранятся на сервере в базе данных PostgreSQL; браузер работает с ними через REST API и хранит только копию канбан-доски и календаря для просмотра без сети. Простые операции (профиль, категории, создание цели) выполняются по той же схеме, что и SD-02, SD-03, поэтому отдельными диаграммами не показаны.</w:t>
      </w:r>
    </w:p>
    <w:bookmarkStart w:id="20" w:name="участники-и-обозначения"/>
    <w:p>
      <w:pPr>
        <w:pStyle w:val="Heading2"/>
      </w:pPr>
      <w:r>
        <w:t xml:space="preserve">Участники и обозначения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534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Студент, работающий с приложением с компьютера, планшета или телефона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Веб-интерфейс (экраны)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главная страница, канбан-доска, цели, календарь, ИИ-ассистент, 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Отправляет запросы к серверу, обновляет access-токен, ведёт копию для просмотра без сети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Копия (IndexedDB)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Копия канбан-доски и календаря в браузере, только для просмотра (ФТ-42)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Принимает запросы, проверяет токен, права и тело запроса, возвращает ошибки в едином формате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Сервисы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AccountService, CategoryService, GoalService, TaskService, CalendarService, FileService, PlanningService, OrioksService, AIService (диаграмма CL-02)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Заменяемый адаптер языковой модели; ключ API хранится только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данные пользователей; ограничения, функции и процедуры — в database/postgresql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Файловое 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 прикреплённых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API, ОРИОКС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системы</w:t>
            </w:r>
          </w:p>
        </w:tc>
      </w:tr>
    </w:tbl>
    <w:p>
      <w:pPr>
        <w:pStyle w:val="BodyText"/>
      </w:pPr>
      <w:r>
        <w:t xml:space="preserve">Имена сервисов и операций совпадают с диаграммой классов CL-02, пути запросов — с контрактом REST API, вызовы базы данных — с функциями и процедурами схемы PostgreSQL. alt — варианты по условию, opt — необязательный фрагмент, loop — повтор, «транзакция» — действия, которые выполняются целиком или не выполняются (НД-03). На диаграммах активности дорожки разделяют действия пользователя, сервера и ИИ-сервиса.</w:t>
      </w:r>
    </w:p>
    <w:bookmarkEnd w:id="20"/>
    <w:bookmarkStart w:id="21" w:name="диаграммы-последовательностей"/>
    <w:p>
      <w:pPr>
        <w:pStyle w:val="Heading2"/>
      </w:pPr>
      <w:r>
        <w:t xml:space="preserve">Диаграммы последовательностей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57"/>
        <w:gridCol w:w="1365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Диаграмма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ФТ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Что показывает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SD-01. Регистрация и 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ФТ-01, 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с хешем пароля, вход с другого устройства с блокировкой после неудачных попыток, обновление access-токена.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SD-02. Создание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ФТ-06–08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запроса, сохранение со статусом «Бэклог», отказ при чужой цели или категории, предложение заполнить дедлайн и длительность.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SD-03. Удаление задачи со связанными данными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ФТ-09, НД-03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Превью удаления, удаление задачи с интервалами и файлами одной транзакцией, удаление файлов из хранилища фоновой задачей.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SD-04. Изменение статуса на канбан-доске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ФТ-17, 30, 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Перетаскивание карточки меняет статус; триггер ставит или очищает время завершения; без сети доска только для просмотра.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SD-05. Декомпозиция цели с помощью 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ФТ-37–40, НД-01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к ИИ через сервер с повторами в пределах 60 с, проверка ответа, правки пользователя, создание задач одной транзакцией.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SD-06. Импорт учебного расписания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ФТ-23,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Расписание группы из ОРИОКС по ключу доступа; если ОРИОКС не подключён или недоступен — загрузка файла общего расписания.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SD-07. Просмотр без сети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копии после входа и изменений, показ копии без сети с датой синхронизации, запрет изменений, удаление копии при выходе.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SD-08. Запрос к ИИ на создание или изменение задачи /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ФТ-35, 36, 38–40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Контекст собирается на сервере, ИИ видит короткие метки вместо id; уточняющий вопрос или предложение, применение после подтверждения.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SD-09. Главная страница, нагрузка и рекомендации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ФТ-20, 26–29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заданий ОРИОКС при устаревших данных, оценка нагрузки по неделям, предупреждение или совет; данные не меняются.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SD-10. Планирование интервала с проверкой пересечений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ФТ-21, 22,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 задачи проверяется и сохраняется, сервер находит пересечения с событиями и занятиями, интерфейс их подсвечивает.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SD-11. Удаление цели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ФТ-13, НД-03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цели остаются без цели и порядка, файлы цели удаляются, сама цель удаляется — всё в одной транзакции.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SD-12. Прикрепление и скачивание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ФТ-32–34, НД-02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типа и размера, запись файла в хранилище и описания в базу, откат при ошибке, скачивание с проверкой владельца.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SD-13. Подключение ОРИОКС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Получение ключа доступа по логину и паролю, определение группы и семестра, хранение ключа в зашифрованном виде, отключение.</w:t>
            </w:r>
          </w:p>
        </w:tc>
      </w:tr>
    </w:tbl>
    <w:bookmarkEnd w:id="21"/>
    <w:bookmarkStart w:id="22" w:name="диаграммы-активности"/>
    <w:p>
      <w:pPr>
        <w:pStyle w:val="Heading2"/>
      </w:pPr>
      <w:r>
        <w:t xml:space="preserve">Диаграммы активности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57"/>
        <w:gridCol w:w="1365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Диаграмма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ФТ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Что показывает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AD-01. Декомпозиция цели на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ФТ-37–40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Цикл декомпозиции с повторами запроса, проверкой ответа, правками пользователя и записью итога в историю.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AD-02. Работа над задачей от создания до выполнения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ФТ-06, 08, 22, 25,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задачи: создание, планирование с проверкой пересечений, смена статусов пользователем, завершение.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AD-03. Получение учебного расписания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ФТ-23, 24, 43, НД-01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источник расписания — ОРИОКС, запасной — файл; при ошибке остаётся прежнее расписание.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AD-04. Рекомендации по учебной нагрузке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ФТ-26–29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заданий ОРИОКС или использование сохранённых, оценка нагрузки и выбор рекомендации.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AD-05. Выгрузка данных и удаление учётной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ФТ-03,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данных в архив; удаление учётной записи после проверки пароля одной транзакцией.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AD-06. Обработка текстового запроса к 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ФТ-35, 36, 38,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запроса к ИИ: тип объекта, обязательные поля, поиск объекта у пользователя, подтверждение.</w:t>
            </w:r>
          </w:p>
        </w:tc>
      </w:tr>
    </w:tbl>
    <w:bookmarkEnd w:id="22"/>
    <w:bookmarkStart w:id="23" w:name="соответствие-требований-диаграммам"/>
    <w:p>
      <w:pPr>
        <w:pStyle w:val="Heading2"/>
      </w:pPr>
      <w:r>
        <w:t xml:space="preserve">Соответствие требований диаграммам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Диаграммы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ФТ-01, ФТ-41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SD-01, SD-07 (данные на сервере, копия для просмотра)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исключено в ТЗ 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ФТ-06–ФТ-08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SD-02, AD-02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ФТ-10–ФТ-12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схеме SD-02; прогресс цели — SD-04, AD-01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ФТ-14–ФТ-16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схеме SD-02 и SD-11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ФТ-17–ФТ-19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ФТ-21, ФТ-22, ФТ-25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SD-10, AD-02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ФТ-23, ФТ-24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SD-06, AD-03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ФТ-26–ФТ-29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SD-09, AD-04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ФТ-30, ФТ-31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SD-04, AD-02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ФТ-32–ФТ-34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ФТ-35, ФТ-36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SD-08, AD-06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SD-05, AD-01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ФТ-38, ФТ-39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SD-05, SD-08, AD-01, AD-06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SD-05, SD-08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SD-04, SD-07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SD-13, AD-03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НД-01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SD-05, SD-06, SD-08, SD-09, AD-03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НД-02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НД-03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SD-03, SD-05, SD-11, AD-05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НД-04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SD-02, SD-10, SD-12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2026-10-30T15:47:36Z</dcterms:created>
  <dcterms:modified xsi:type="dcterms:W3CDTF">2026-10-30T15:47:36Z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