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48"/>
        </w:rPr>
        <w:t>天线测试报告</w:t>
      </w:r>
    </w:p>
    <w:p/>
    <w:p>
      <w:r>
        <w:rPr>
          <w:b/>
        </w:rPr>
        <w:t>天线型号:</w:t>
      </w:r>
      <w:r>
        <w:t xml:space="preserve">  [📋 antenna_model]  ← 插入纯文本内容控件, 标签设为 'antenna_model'</w:t>
      </w:r>
    </w:p>
    <w:p>
      <w:r>
        <w:rPr>
          <w:b/>
        </w:rPr>
        <w:t>客户:</w:t>
      </w:r>
      <w:r>
        <w:t xml:space="preserve">  [📋 customer_name]  ← 插入纯文本内容控件, 标签设为 'customer_name'</w:t>
      </w:r>
    </w:p>
    <w:p>
      <w:r>
        <w:rPr>
          <w:b/>
        </w:rPr>
        <w:t>测试日期:</w:t>
      </w:r>
      <w:r>
        <w:t xml:space="preserve">  [📋 test_date]  ← 插入纯文本内容控件, 标签设为 'test_date'</w:t>
      </w:r>
    </w:p>
    <w:p>
      <w:r>
        <w:rPr>
          <w:b/>
        </w:rPr>
        <w:t>频率范围:</w:t>
      </w:r>
      <w:r>
        <w:t xml:space="preserve">  [📋 freq_range]  ← 插入纯文本内容控件, 标签设为 'freq_range'</w:t>
      </w:r>
    </w:p>
    <w:p>
      <w:r>
        <w:rPr>
          <w:b/>
        </w:rPr>
        <w:t>操作员:</w:t>
      </w:r>
      <w:r>
        <w:t xml:space="preserve">  [📋 operator]  ← 插入纯文本内容控件, 标签设为 'operator'</w:t>
      </w:r>
    </w:p>
    <w:p>
      <w:r>
        <w:br w:type="page"/>
      </w:r>
    </w:p>
    <w:p>
      <w:pPr>
        <w:pStyle w:val="Heading1"/>
      </w:pPr>
      <w:r>
        <w:t>3D 增益方向图</w:t>
      </w:r>
    </w:p>
    <w:p>
      <w:r>
        <w:t>[📑 gain_3d]  ← 在此插入书签, 名称设为 'gain_3d'</w:t>
      </w:r>
    </w:p>
    <w:p>
      <w:r>
        <w:br w:type="page"/>
      </w:r>
    </w:p>
    <w:p>
      <w:pPr>
        <w:pStyle w:val="Heading1"/>
      </w:pPr>
      <w:r>
        <w:t>方位面切面 (循环示例)</w:t>
      </w:r>
    </w:p>
    <w:p>
      <w:r>
        <w:t>[📑 loop_start_azimuth_gain]  ← 循环开始书签</w:t>
      </w:r>
    </w:p>
    <w:p>
      <w:r>
        <w:t>频率: [📋 freq]  ← SDT 标签 'freq'</w:t>
      </w:r>
    </w:p>
    <w:p>
      <w:r>
        <w:t>[📑 azimuth_gain]  ← 图片书签 'azimuth_gain'</w:t>
      </w:r>
    </w:p>
    <w:p>
      <w:r>
        <w:t>[📑 loop_end_azimuth_gain]  ← 循环结束书签</w:t>
      </w:r>
    </w:p>
    <w:p>
      <w:r>
        <w:br w:type="page"/>
      </w:r>
    </w:p>
    <w:p>
      <w:pPr>
        <w:pStyle w:val="Heading1"/>
      </w:pPr>
      <w:r>
        <w:t>天线参数表</w:t>
      </w:r>
    </w:p>
    <w:p>
      <w:r>
        <w:t>表格列头按标准命名自动识别填入。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1512"/>
          </w:tcPr>
          <w:p>
            <w:r>
              <w:rPr>
                <w:b/>
              </w:rPr>
              <w:t>PKGain</w:t>
            </w:r>
          </w:p>
        </w:tc>
        <w:tc>
          <w:tcPr>
            <w:tcW w:type="dxa" w:w="1512"/>
          </w:tcPr>
          <w:p>
            <w:r>
              <w:rPr>
                <w:b/>
              </w:rPr>
              <w:t>Efficiency(%)</w:t>
            </w:r>
          </w:p>
        </w:tc>
        <w:tc>
          <w:tcPr>
            <w:tcW w:type="dxa" w:w="1512"/>
          </w:tcPr>
          <w:p>
            <w:r>
              <w:rPr>
                <w:b/>
              </w:rPr>
              <w:t>TRP(dBm)</w:t>
            </w:r>
          </w:p>
        </w:tc>
        <w:tc>
          <w:tcPr>
            <w:tcW w:type="dxa" w:w="1512"/>
          </w:tcPr>
          <w:p>
            <w:r>
              <w:rPr>
                <w:b/>
              </w:rPr>
              <w:t>AR(dB)</w:t>
            </w:r>
          </w:p>
        </w:tc>
        <w:tc>
          <w:tcPr>
            <w:tcW w:type="dxa" w:w="1512"/>
          </w:tcPr>
          <w:p>
            <w:r>
              <w:rPr>
                <w:b/>
              </w:rPr>
              <w:t>Directivity(dBi)</w:t>
            </w:r>
          </w:p>
        </w:tc>
      </w:tr>
      <w:tr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</w:tbl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