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rPr>
          <w:b/>
          <w:bCs/>
          <w:color w:val="1F4E79"/>
          <w:sz w:val="22"/>
          <w:szCs w:val="22"/>
        </w:rPr>
      </w:pPr>
      <w:r>
        <w:t xml:space="preserve">[NOM DE L'ORGANISATION]</w:t>
      </w:r>
    </w:p>
    <w:p>
      <w:pPr>
        <w:spacing w:after="80"/>
        <w:jc w:val="center"/>
      </w:pPr>
      <w:r>
        <w:rPr>
          <w:b/>
          <w:bCs/>
          <w:color w:val="1F4E79"/>
          <w:sz w:val="44"/>
          <w:szCs w:val="44"/>
        </w:rPr>
        <w:t xml:space="preserve">Charte d'usage du système d'information</w:t>
      </w:r>
    </w:p>
    <w:p>
      <w:pPr>
        <w:spacing w:after="400"/>
        <w:jc w:val="center"/>
      </w:pPr>
      <w:r>
        <w:rPr>
          <w:i/>
          <w:iCs/>
          <w:sz w:val="20"/>
          <w:szCs w:val="20"/>
        </w:rPr>
        <w:t xml:space="preserve">Version 1.0 — [date] — À adapter et diffuser à l'ensemble des utilisateurs et employés</w:t>
      </w:r>
    </w:p>
    <w:p>
      <w:pPr>
        <w:pStyle w:val="Heading1"/>
        <w:spacing w:after="160" w:before="320"/>
      </w:pPr>
      <w:r>
        <w:t xml:space="preserve">1. Préambule</w:t>
      </w:r>
    </w:p>
    <w:p>
      <w:pPr>
        <w:spacing w:after="160"/>
      </w:pPr>
      <w:r>
        <w:t xml:space="preserve">Cette charte définit les règles d'usage du système d'information (SI) de [NOM DE L'ORGANISATION]. Elle s'applique à toute personne utilisant les équipements, réseaux, comptes et services numériques mis à disposition : employés, stagiaires, apprenants, intervenants et prestataires.</w:t>
      </w:r>
    </w:p>
    <w:p>
      <w:pPr>
        <w:spacing w:after="160"/>
      </w:pPr>
      <w:r>
        <w:t xml:space="preserve">Chaque utilisateur du SI est responsable, à son niveau, de la sécurité des informations et des équipements qui lui sont confiés. Cette charte ne remplace pas les politiques de sécurité techniques déjà en place ; elle en explique les raisons et les traduit en gestes concrets, au quotidien.</w:t>
      </w:r>
    </w:p>
    <w:p>
      <w:pPr>
        <w:spacing w:after="160"/>
      </w:pPr>
      <w:r>
        <w:t xml:space="preserve">Le non-respect des règles décrites ici peut exposer l'organisation à des risques sérieux (perte de données, indisponibilité de services, atteinte à la confidentialité) et engager la responsabilité de l'utilisateur concerné, dans les conditions prévues par le règlement intérieur.</w:t>
      </w:r>
    </w:p>
    <w:p>
      <w:pPr>
        <w:pStyle w:val="Heading1"/>
        <w:spacing w:after="160" w:before="320"/>
      </w:pPr>
      <w:r>
        <w:t xml:space="preserve">2. Sécurité du poste de travail</w:t>
      </w:r>
    </w:p>
    <w:p>
      <w:pPr>
        <w:spacing w:after="160"/>
      </w:pPr>
      <w:r>
        <w:t xml:space="preserve">Le poste de travail (ordinateur fixe, portable, tablette professionnelle) est le point d'entrée le plus exposé du système d'information. Les règles suivantes s'appliquent en priorité.</w:t>
      </w:r>
    </w:p>
    <w:p>
      <w:pPr>
        <w:pStyle w:val="Heading2"/>
        <w:spacing w:after="120" w:before="240"/>
      </w:pPr>
      <w:r>
        <w:t xml:space="preserve">2.1 Accès et mots de passe</w:t>
      </w:r>
    </w:p>
    <w:p>
      <w:pPr>
        <w:pStyle w:val="ListParagraph"/>
        <w:numPr>
          <w:ilvl w:val="0"/>
          <w:numId w:val="2"/>
        </w:numPr>
        <w:spacing w:after="80"/>
      </w:pPr>
      <w:r>
        <w:t xml:space="preserve">Le mot de passe de session est personnel et confidentiel : il ne se communique jamais, y compris à un collègue ou à un responsable.</w:t>
      </w:r>
    </w:p>
    <w:p>
      <w:pPr>
        <w:pStyle w:val="ListParagraph"/>
        <w:numPr>
          <w:ilvl w:val="0"/>
          <w:numId w:val="2"/>
        </w:numPr>
        <w:spacing w:after="80"/>
      </w:pPr>
      <w:r>
        <w:t xml:space="preserve">Verrouillez systématiquement votre session dès que vous quittez votre poste, même pour quelques minutes (raccourci Windows : touche Windows + L).</w:t>
      </w:r>
    </w:p>
    <w:p>
      <w:pPr>
        <w:pStyle w:val="ListParagraph"/>
        <w:numPr>
          <w:ilvl w:val="0"/>
          <w:numId w:val="2"/>
        </w:numPr>
        <w:spacing w:after="80"/>
      </w:pPr>
      <w:r>
        <w:t xml:space="preserve">N'utilisez jamais le compte d'un(e) collègue, même en son absence et avec son accord apparent.</w:t>
      </w:r>
    </w:p>
    <w:p>
      <w:pPr>
        <w:spacing w:after="160"/>
      </w:pPr>
      <w:r>
        <w:t xml:space="preserve">La politique de mots de passe de [NOM DE L'ORGANISATION] (longueur minimale, complexité, gestionnaire de mots de passe recommandé, authentification multifacteur si disponible) suit les recommandations de la CNIL relatives aux mots de passe (délibération n° 2022-100 du 21 juillet 2022) — à préciser ici selon les choix techniques retenus.</w:t>
      </w:r>
    </w:p>
    <w:p>
      <w:pPr>
        <w:pStyle w:val="Heading2"/>
        <w:spacing w:after="120" w:before="240"/>
      </w:pPr>
      <w:r>
        <w:t xml:space="preserve">2.2 Branchement de périphériques externes — attention particulière aux téléphones mobiles</w:t>
      </w:r>
    </w:p>
    <w:p>
      <w:pPr>
        <w:spacing w:after="160"/>
      </w:pPr>
      <w:r>
        <w:t xml:space="preserve">Un port USB transporte à la fois de l'alimentation électrique ET des données. Brancher un appareil dessus, même « juste pour le recharger », peut donc, selon le câble et le port utilisés, ouvrir un canal d'échange de données entre cet appareil et le poste professionnel — dans un sens comme dans l'autre.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6A017" w:sz="6"/>
              <w:left w:val="single" w:color="D6A017" w:sz="6"/>
              <w:bottom w:val="single" w:color="D6A017" w:sz="6"/>
              <w:right w:val="single" w:color="D6A017" w:sz="6"/>
            </w:tcBorders>
            <w:shd w:fill="FFF3CD" w:val="clear"/>
            <w:tcMar>
              <w:top w:type="dxa" w:w="160"/>
              <w:left w:type="dxa" w:w="200"/>
              <w:bottom w:type="dxa" w:w="160"/>
              <w:right w:type="dxa" w:w="200"/>
            </w:tcMar>
          </w:tcPr>
          <w:p>
            <w:pPr>
              <w:spacing w:after="100"/>
            </w:pPr>
            <w:r>
              <w:rPr>
                <w:b/>
                <w:bCs/>
              </w:rPr>
              <w:t xml:space="preserve">Deux risques distincts à connaître :</w:t>
            </w:r>
          </w:p>
          <w:p>
            <w:pPr>
              <w:spacing w:after="100"/>
            </w:pPr>
            <w:r>
              <w:rPr>
                <w:b/>
                <w:bCs/>
              </w:rPr>
              <w:t xml:space="preserve">• Recharger un téléphone personnel sur le port USB d'un poste professionnel : </w:t>
            </w:r>
            <w:r>
              <w:t xml:space="preserve">un appareil compromis peut, selon la configuration du port, tenter d'accéder aux données du poste ou d'y déposer un programme indésirable — même sans action volontaire de l'utilisateur.</w:t>
            </w:r>
          </w:p>
          <w:p>
            <w:pPr>
              <w:spacing w:after="0"/>
            </w:pPr>
            <w:r>
              <w:rPr>
                <w:b/>
                <w:bCs/>
              </w:rPr>
              <w:t xml:space="preserve">• Transférer des données via une clé USB ou un téléphone (documents, photos, sauvegarde personnelle...) : </w:t>
            </w:r>
            <w:r>
              <w:t xml:space="preserve">risque de sortie de données professionnelles vers un support non maîtrisé, ou d'introduction d'un programme malveillant depuis un support externe non contrôlé — l'un des vecteurs d'infection les plus fréquents.</w:t>
            </w:r>
          </w:p>
        </w:tc>
      </w:tr>
    </w:tbl>
    <w:p>
      <w:pPr>
        <w:spacing w:after="160"/>
      </w:pPr>
      <w:r>
        <w:t xml:space="preserve"/>
      </w:r>
    </w:p>
    <w:p>
      <w:pPr>
        <w:spacing w:after="160"/>
      </w:pPr>
      <w:r>
        <w:t xml:space="preserve">En pratique :</w:t>
      </w:r>
    </w:p>
    <w:p>
      <w:pPr>
        <w:pStyle w:val="ListParagraph"/>
        <w:numPr>
          <w:ilvl w:val="0"/>
          <w:numId w:val="2"/>
        </w:numPr>
        <w:spacing w:after="80"/>
      </w:pPr>
      <w:r>
        <w:t xml:space="preserve">Pour recharger un téléphone ou un appareil personnel, utilisez un chargeur secteur (prise murale), jamais un port USB d'un poste professionnel.</w:t>
      </w:r>
    </w:p>
    <w:p>
      <w:pPr>
        <w:pStyle w:val="ListParagraph"/>
        <w:numPr>
          <w:ilvl w:val="0"/>
          <w:numId w:val="2"/>
        </w:numPr>
        <w:spacing w:after="80"/>
      </w:pPr>
      <w:r>
        <w:t xml:space="preserve">N'insérez une clé USB ou un disque externe sur un poste professionnel que s'il provient d'une source de confiance connue.</w:t>
      </w:r>
    </w:p>
    <w:p>
      <w:pPr>
        <w:pStyle w:val="ListParagraph"/>
        <w:numPr>
          <w:ilvl w:val="0"/>
          <w:numId w:val="2"/>
        </w:numPr>
        <w:spacing w:after="80"/>
      </w:pPr>
      <w:r>
        <w:t xml:space="preserve">Si un transfert de données est réellement nécessaire dans le cadre professionnel, passez par les outils mis à disposition à cet effet (partage réseau, service de transfert approuvé) plutôt que par un support personnel — contactez le support informatique en cas de doute sur la marche à suivre.</w:t>
      </w:r>
    </w:p>
    <w:p>
      <w:pPr>
        <w:pStyle w:val="Heading2"/>
        <w:spacing w:after="120" w:before="240"/>
      </w:pPr>
      <w:r>
        <w:t xml:space="preserve">2.3 Logiciels et mises à jour</w:t>
      </w:r>
    </w:p>
    <w:p>
      <w:pPr>
        <w:pStyle w:val="ListParagraph"/>
        <w:numPr>
          <w:ilvl w:val="0"/>
          <w:numId w:val="2"/>
        </w:numPr>
        <w:spacing w:after="80"/>
      </w:pPr>
      <w:r>
        <w:t xml:space="preserve">N'installez aucun logiciel non validé par le support informatique, y compris des extensions de navigateur ou des applications d'apparence anodine.</w:t>
      </w:r>
    </w:p>
    <w:p>
      <w:pPr>
        <w:pStyle w:val="ListParagraph"/>
        <w:numPr>
          <w:ilvl w:val="0"/>
          <w:numId w:val="2"/>
        </w:numPr>
        <w:spacing w:after="80"/>
      </w:pPr>
      <w:r>
        <w:t xml:space="preserve">Acceptez et appliquez les mises à jour proposées sur votre poste dès qu'elles sont disponibles — elles corrigent le plus souvent des failles de sécurité déjà identifiées.</w:t>
      </w:r>
    </w:p>
    <w:p>
      <w:pPr>
        <w:pStyle w:val="Heading2"/>
        <w:spacing w:after="120" w:before="240"/>
      </w:pPr>
      <w:r>
        <w:t xml:space="preserve">2.4 Protection physique du matériel</w:t>
      </w:r>
    </w:p>
    <w:p>
      <w:pPr>
        <w:pStyle w:val="ListParagraph"/>
        <w:numPr>
          <w:ilvl w:val="0"/>
          <w:numId w:val="2"/>
        </w:numPr>
        <w:spacing w:after="80"/>
      </w:pPr>
      <w:r>
        <w:t xml:space="preserve">Ne laissez jamais un ordinateur portable ou un appareil professionnel sans surveillance dans un lieu public (café, train, salle d'attente...).</w:t>
      </w:r>
    </w:p>
    <w:p>
      <w:pPr>
        <w:pStyle w:val="ListParagraph"/>
        <w:numPr>
          <w:ilvl w:val="0"/>
          <w:numId w:val="2"/>
        </w:numPr>
        <w:spacing w:after="80"/>
      </w:pPr>
      <w:r>
        <w:t xml:space="preserve">Signalez immédiatement toute perte ou tout vol de matériel professionnel, quelle que soit l'heure.</w:t>
      </w:r>
    </w:p>
    <w:p>
      <w:pPr>
        <w:pStyle w:val="Heading2"/>
        <w:spacing w:after="120" w:before="240"/>
      </w:pPr>
      <w:r>
        <w:t xml:space="preserve">2.5 Antivirus et outils de protection</w:t>
      </w:r>
    </w:p>
    <w:p>
      <w:pPr>
        <w:pStyle w:val="ListParagraph"/>
        <w:numPr>
          <w:ilvl w:val="0"/>
          <w:numId w:val="2"/>
        </w:numPr>
        <w:spacing w:after="80"/>
      </w:pPr>
      <w:r>
        <w:t xml:space="preserve">Ne désactivez jamais l'antivirus ou les autres outils de protection installés sur votre poste, même temporairement.</w:t>
      </w:r>
    </w:p>
    <w:p>
      <w:pPr>
        <w:pStyle w:val="ListParagraph"/>
        <w:numPr>
          <w:ilvl w:val="0"/>
          <w:numId w:val="2"/>
        </w:numPr>
        <w:spacing w:after="80"/>
      </w:pPr>
      <w:r>
        <w:t xml:space="preserve">Ne contournez pas les restrictions de sécurité mises en place, même si elles vous semblent contraignantes — signalez plutôt la gêne au support informatique.</w:t>
      </w:r>
    </w:p>
    <w:p>
      <w:pPr>
        <w:pStyle w:val="Heading1"/>
        <w:spacing w:after="160" w:before="320"/>
      </w:pPr>
      <w:r>
        <w:t xml:space="preserve">3. Utilisation du réseau et d'Internet</w:t>
      </w:r>
    </w:p>
    <w:p>
      <w:pPr>
        <w:pStyle w:val="ListParagraph"/>
        <w:numPr>
          <w:ilvl w:val="0"/>
          <w:numId w:val="2"/>
        </w:numPr>
        <w:spacing w:after="80"/>
      </w:pPr>
      <w:r>
        <w:t xml:space="preserve">L'accès à Internet depuis les équipements professionnels est destiné à un usage principalement professionnel ; un usage personnel raisonnable et ponctuel est toléré, dans le respect de la loi et de cette charte.</w:t>
      </w:r>
    </w:p>
    <w:p>
      <w:pPr>
        <w:pStyle w:val="ListParagraph"/>
        <w:numPr>
          <w:ilvl w:val="0"/>
          <w:numId w:val="2"/>
        </w:numPr>
        <w:spacing w:after="80"/>
      </w:pPr>
      <w:r>
        <w:t xml:space="preserve">Évitez le téléchargement de fichiers depuis des sites non fiables ou de provenance inconnue.</w:t>
      </w:r>
    </w:p>
    <w:p>
      <w:pPr>
        <w:pStyle w:val="ListParagraph"/>
        <w:numPr>
          <w:ilvl w:val="0"/>
          <w:numId w:val="2"/>
        </w:numPr>
        <w:spacing w:after="80"/>
      </w:pPr>
      <w:r>
        <w:t xml:space="preserve">Sur un réseau Wi-Fi public ou non maîtrisé (hôtel, aéroport, lieu public), redoublez de prudence : n'accédez aux services professionnels que via une connexion sécurisée fournie par l'organisation, si elle est disponible.</w:t>
      </w:r>
    </w:p>
    <w:p>
      <w:pPr>
        <w:pStyle w:val="Heading1"/>
        <w:spacing w:after="160" w:before="320"/>
      </w:pPr>
      <w:r>
        <w:t xml:space="preserve">4. Messagerie électronique</w:t>
      </w:r>
    </w:p>
    <w:p>
      <w:pPr>
        <w:pStyle w:val="ListParagraph"/>
        <w:numPr>
          <w:ilvl w:val="0"/>
          <w:numId w:val="2"/>
        </w:numPr>
        <w:spacing w:after="80"/>
      </w:pPr>
      <w:r>
        <w:t xml:space="preserve">Vérifiez systématiquement l'expéditeur d'un message avant d'ouvrir une pièce jointe ou de cliquer sur un lien, en particulier s'il crée un sentiment d'urgence ou vous demande des identifiants.</w:t>
      </w:r>
    </w:p>
    <w:p>
      <w:pPr>
        <w:pStyle w:val="ListParagraph"/>
        <w:numPr>
          <w:ilvl w:val="0"/>
          <w:numId w:val="2"/>
        </w:numPr>
        <w:spacing w:after="80"/>
      </w:pPr>
      <w:r>
        <w:t xml:space="preserve">En cas de doute sur un message (hameçonnage / phishing), ne cliquez sur rien et signalez-le au support informatique plutôt que de le supprimer directement.</w:t>
      </w:r>
    </w:p>
    <w:p>
      <w:pPr>
        <w:pStyle w:val="ListParagraph"/>
        <w:numPr>
          <w:ilvl w:val="0"/>
          <w:numId w:val="2"/>
        </w:numPr>
        <w:spacing w:after="80"/>
      </w:pPr>
      <w:r>
        <w:t xml:space="preserve">Ne communiquez jamais votre mot de passe par messagerie, même à une personne se présentant comme faisant partie du support informatique.</w:t>
      </w:r>
    </w:p>
    <w:p>
      <w:pPr>
        <w:pStyle w:val="Heading1"/>
        <w:spacing w:after="160" w:before="320"/>
      </w:pPr>
      <w:r>
        <w:t xml:space="preserve">5. Gestion des données</w:t>
      </w:r>
    </w:p>
    <w:p>
      <w:pPr>
        <w:pStyle w:val="ListParagraph"/>
        <w:numPr>
          <w:ilvl w:val="0"/>
          <w:numId w:val="2"/>
        </w:numPr>
        <w:spacing w:after="80"/>
      </w:pPr>
      <w:r>
        <w:t xml:space="preserve">Enregistrez les documents professionnels sur les emplacements prévus à cet effet (serveur, espace partagé) plutôt que uniquement en local sur le poste, pour bénéficier des sauvegardes.</w:t>
      </w:r>
    </w:p>
    <w:p>
      <w:pPr>
        <w:pStyle w:val="ListParagraph"/>
        <w:numPr>
          <w:ilvl w:val="0"/>
          <w:numId w:val="2"/>
        </w:numPr>
        <w:spacing w:after="80"/>
      </w:pPr>
      <w:r>
        <w:t xml:space="preserve">Ne stockez pas de données professionnelles sur des services de stockage en ligne personnels (cloud grand public) non validés par l'organisation.</w:t>
      </w:r>
    </w:p>
    <w:p>
      <w:pPr>
        <w:pStyle w:val="ListParagraph"/>
        <w:numPr>
          <w:ilvl w:val="0"/>
          <w:numId w:val="2"/>
        </w:numPr>
        <w:spacing w:after="80"/>
      </w:pPr>
      <w:r>
        <w:t xml:space="preserve">Restez attentif au caractère sensible ou confidentiel de certaines informations avant de les partager, même en interne.</w:t>
      </w:r>
    </w:p>
    <w:p>
      <w:pPr>
        <w:pStyle w:val="Heading2"/>
        <w:spacing w:after="120" w:before="240"/>
      </w:pPr>
      <w:r>
        <w:t xml:space="preserve">5.1 Données à caractère personnel</w:t>
      </w:r>
    </w:p>
    <w:p>
      <w:pPr>
        <w:spacing w:after="120"/>
      </w:pPr>
      <w:r>
        <w:t xml:space="preserve">Lorsque votre activité vous amène à manipuler des données à caractère personnel (clients, usagers, personnel…), les règles suivantes, recommandées par la CNIL, s'appliquent en complément des règles générales ci-dessus :</w:t>
      </w:r>
    </w:p>
    <w:p>
      <w:pPr>
        <w:pStyle w:val="ListParagraph"/>
        <w:numPr>
          <w:ilvl w:val="0"/>
          <w:numId w:val="2"/>
        </w:numPr>
        <w:spacing w:after="80"/>
      </w:pPr>
      <w:r>
        <w:t xml:space="preserve">N'utilisez ces données que pour les finalités prévues par votre mission, jamais à d'autres fins.</w:t>
      </w:r>
    </w:p>
    <w:p>
      <w:pPr>
        <w:pStyle w:val="ListParagraph"/>
        <w:numPr>
          <w:ilvl w:val="0"/>
          <w:numId w:val="2"/>
        </w:numPr>
        <w:spacing w:after="80"/>
      </w:pPr>
      <w:r>
        <w:t xml:space="preserve">Ne les divulguez qu'aux personnes dûment autorisées à en connaître.</w:t>
      </w:r>
    </w:p>
    <w:p>
      <w:pPr>
        <w:pStyle w:val="ListParagraph"/>
        <w:numPr>
          <w:ilvl w:val="0"/>
          <w:numId w:val="2"/>
        </w:numPr>
        <w:spacing w:after="80"/>
      </w:pPr>
      <w:r>
        <w:t xml:space="preserve">N'en faites aucune copie sauf si cela est strictement nécessaire à l'exécution de votre mission.</w:t>
      </w:r>
    </w:p>
    <w:p>
      <w:pPr>
        <w:pStyle w:val="ListParagraph"/>
        <w:numPr>
          <w:ilvl w:val="0"/>
          <w:numId w:val="2"/>
        </w:numPr>
        <w:spacing w:after="80"/>
      </w:pPr>
      <w:r>
        <w:t xml:space="preserve">N'utilisez que des moyens de communication sécurisés (validés par l'organisation) pour les transférer.</w:t>
      </w:r>
    </w:p>
    <w:p>
      <w:pPr>
        <w:pStyle w:val="ListParagraph"/>
        <w:numPr>
          <w:ilvl w:val="0"/>
          <w:numId w:val="2"/>
        </w:numPr>
        <w:spacing w:after="160"/>
      </w:pPr>
      <w:r>
        <w:t xml:space="preserve">Restituez-les intégralement (et supprimez vos copies) à la fin de votre mission ou de vos fonctions.</w:t>
      </w:r>
    </w:p>
    <w:p>
      <w:pPr>
        <w:pStyle w:val="Heading1"/>
        <w:spacing w:after="160" w:before="320"/>
      </w:pPr>
      <w:r>
        <w:t xml:space="preserve">6. Télétravail et nomadisme</w:t>
      </w:r>
    </w:p>
    <w:p>
      <w:pPr>
        <w:pStyle w:val="ListParagraph"/>
        <w:numPr>
          <w:ilvl w:val="0"/>
          <w:numId w:val="2"/>
        </w:numPr>
        <w:spacing w:after="80"/>
      </w:pPr>
      <w:r>
        <w:t xml:space="preserve">Protégez l'écran de votre appareil des regards indiscrets lorsque vous travaillez dans un lieu public.</w:t>
      </w:r>
    </w:p>
    <w:p>
      <w:pPr>
        <w:pStyle w:val="ListParagraph"/>
        <w:numPr>
          <w:ilvl w:val="0"/>
          <w:numId w:val="2"/>
        </w:numPr>
        <w:spacing w:after="80"/>
      </w:pPr>
      <w:r>
        <w:t xml:space="preserve">Utilisez, lorsqu'elle est proposée, la connexion sécurisée (VPN) mise à disposition pour accéder aux ressources internes à distance.</w:t>
      </w:r>
    </w:p>
    <w:p>
      <w:pPr>
        <w:pStyle w:val="ListParagraph"/>
        <w:numPr>
          <w:ilvl w:val="0"/>
          <w:numId w:val="2"/>
        </w:numPr>
        <w:spacing w:after="80"/>
      </w:pPr>
      <w:r>
        <w:t xml:space="preserve">Les mêmes règles de vigilance USB/périphériques (section 2.2) s'appliquent, voire renforcées, hors des locaux de l'organisation.</w:t>
      </w:r>
    </w:p>
    <w:p>
      <w:pPr>
        <w:pStyle w:val="Heading1"/>
        <w:spacing w:after="160" w:before="320"/>
      </w:pPr>
      <w:r>
        <w:t xml:space="preserve">7. Signalement des incidents</w:t>
      </w:r>
    </w:p>
    <w:p>
      <w:pPr>
        <w:spacing w:after="160"/>
      </w:pPr>
      <w:r>
        <w:t xml:space="preserve">Un incident de sécurité (perte ou vol de matériel, clic sur un lien suspect, comportement inhabituel du poste, message douteux reçu ou déjà ouvert...) doit être signalé sans délai, même en cas de doute ou d'erreur de votre part. Signaler rapidement permet de limiter les conséquences ; ne pas signaler par crainte aggrave presque toujours la situation.</w:t>
      </w:r>
    </w:p>
    <w:p>
      <w:pPr>
        <w:spacing w:after="160"/>
      </w:pPr>
      <w:r>
        <w:t xml:space="preserve">Contact en cas d'incident ou de question : [à compléter — contact support informatique / RSSI]</w:t>
      </w:r>
    </w:p>
    <w:p>
      <w:pPr>
        <w:pStyle w:val="Heading1"/>
        <w:spacing w:after="160" w:before="320"/>
      </w:pPr>
      <w:r>
        <w:t xml:space="preserve">8. Responsabilités et sanctions</w:t>
      </w:r>
    </w:p>
    <w:p>
      <w:pPr>
        <w:spacing w:after="160"/>
      </w:pPr>
      <w:r>
        <w:t xml:space="preserve">Chaque utilisateur est responsable de l'usage qu'il fait des accès et équipements qui lui sont confiés. Le non-respect des règles de cette charte peut entraîner des mesures disciplinaires, dans les conditions prévues par le règlement intérieur, sans préjudice des poursuites judiciaires éventuelles en cas d'infraction à la loi.</w:t>
      </w:r>
    </w:p>
    <w:p>
      <w:pPr>
        <w:pStyle w:val="Heading2"/>
        <w:spacing w:after="120" w:before="240"/>
      </w:pPr>
      <w:r>
        <w:t xml:space="preserve">8.1 Opposabilité de la charte</w:t>
      </w:r>
    </w:p>
    <w:p>
      <w:pPr>
        <w:spacing w:after="160"/>
      </w:pPr>
      <w:r>
        <w:t xml:space="preserve">Cette charte n'a de valeur disciplinaire — c'est-à-dire opposable à un utilisateur en cas de manquement — que si elle est diffusée dans les formes prévues par le code du travail : soit annexée au règlement intérieur (articles L1321-1 à L1321-5, obligatoire pour les entreprises tenues d'avoir un règlement intérieur), soit portée individuellement à la connaissance de chaque utilisateur (remise contre signature, diffusion avec le contrat de travail ou un outil de diffusion individuelle) lorsqu'aucun règlement intérieur ne s'applique. [NOM DE L'ORGANISATION] précisera ici la modalité retenue.</w:t>
      </w:r>
    </w:p>
    <w:p>
      <w:pPr>
        <w:spacing w:after="160"/>
      </w:pPr>
      <w:r>
        <w:t xml:space="preserve">Fichiers et messages identifiés comme « personnels » : les fichiers et messages créés ou reçus sur les équipements professionnels sont présumés avoir un caractère professionnel, sauf s'ils sont explicitement identifiés comme personnels ou privés par l'utilisateur (jurisprudence constante, notamment Cass. soc., 18 octobre 2006, n° 04-48.025, dit « arrêt Nikon »). Un contrôle ou une consultation par l'employeur des éléments ainsi identifiés comme personnels ne peut intervenir qu'en présence de l'utilisateur concerné, ou celui-ci dûment appelé, sauf risque ou événement particulier.</w:t>
      </w:r>
    </w:p>
    <w:p>
      <w:pPr>
        <w:pStyle w:val="Heading1"/>
        <w:spacing w:after="160" w:before="320"/>
      </w:pPr>
      <w:r>
        <w:t xml:space="preserve">9. Acceptation</w:t>
      </w:r>
    </w:p>
    <w:p>
      <w:pPr>
        <w:spacing w:after="160"/>
      </w:pPr>
      <w:r>
        <w:t xml:space="preserve">Je reconnais avoir pris connaissance de la présente charte et m'engage à en respecter les dispositions.</w:t>
      </w:r>
    </w:p>
    <w:p>
      <w:pPr>
        <w:spacing w:after="400"/>
      </w:pPr>
    </w:p>
    <w:p>
      <w:pPr>
        <w:spacing w:after="200"/>
      </w:pPr>
      <w:r>
        <w:t xml:space="preserve">Nom, prénom : ________________________________</w:t>
      </w:r>
    </w:p>
    <w:p>
      <w:pPr>
        <w:spacing w:after="200"/>
      </w:pPr>
      <w:r>
        <w:t xml:space="preserve">Date : ____________________        Signature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2026-09-02T12:29:17.638Z</dcterms:created>
  <dcterms:modified xsi:type="dcterms:W3CDTF">2026-09-02T12:29:17.651Z</dcterms:modified>
</cp:coreProperties>
</file>

<file path=docProps/custom.xml><?xml version="1.0" encoding="utf-8"?>
<Properties xmlns="http://schemas.openxmlformats.org/officeDocument/2006/custom-properties" xmlns:vt="http://schemas.openxmlformats.org/officeDocument/2006/docPropsVTypes"/>
</file>