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rPr>
          <w:b/>
          <w:bCs/>
          <w:color w:val="1F4E79"/>
          <w:sz w:val="22"/>
          <w:szCs w:val="22"/>
        </w:rPr>
      </w:pPr>
      <w:r>
        <w:t xml:space="preserve">[NOM DE L'ORGANISATION]</w:t>
      </w:r>
    </w:p>
    <w:p>
      <w:pPr>
        <w:spacing w:after="40"/>
        <w:jc w:val="center"/>
      </w:pPr>
      <w:r>
        <w:rPr>
          <w:b/>
          <w:bCs/>
          <w:color w:val="1F4E79"/>
          <w:sz w:val="40"/>
          <w:szCs w:val="40"/>
        </w:rPr>
        <w:t xml:space="preserve">PRA — Secrets de démarrage chiffrés</w:t>
      </w:r>
    </w:p>
    <w:p>
      <w:pPr>
        <w:spacing w:after="80"/>
        <w:jc w:val="center"/>
      </w:pPr>
      <w:r>
        <w:rPr>
          <w:color w:val="1F4E79"/>
          <w:sz w:val="24"/>
          <w:szCs w:val="24"/>
        </w:rPr>
        <w:t xml:space="preserve">Plan de reprise d'activité — procédure de garde et de récupération de la clé maîtresse</w:t>
      </w:r>
    </w:p>
    <w:p>
      <w:pPr>
        <w:spacing w:after="400"/>
        <w:jc w:val="center"/>
      </w:pPr>
      <w:r>
        <w:rPr>
          <w:i/>
          <w:iCs/>
          <w:sz w:val="20"/>
          <w:szCs w:val="20"/>
        </w:rPr>
        <w:t xml:space="preserve">Version 1.0 — [date] — Document interne, diffusion restreinte</w:t>
      </w:r>
    </w:p>
    <w:p>
      <w:pPr>
        <w:pStyle w:val="Heading1"/>
        <w:spacing w:after="160" w:before="320"/>
      </w:pPr>
      <w:r>
        <w:t xml:space="preserve">1. Objet</w:t>
      </w:r>
    </w:p>
    <w:p>
      <w:pPr>
        <w:spacing w:after="160"/>
      </w:pPr>
      <w:r>
        <w:t xml:space="preserve">Ce document décrit la procédure de garde, d'usage et de récupération de la phrase de passe maîtresse utilisée pour chiffrer les secrets de démarrage du système d'information (mots de passe applicatifs, clés de connexion SSH). Il répond au point 4 de la revue de risque du [date] : « le coffre-fort est-il sécurisé pour ça ? risque de boucle avec Keycloak non monté ? quelles procédures possibles / PRA à décrire dans le volet cyber ».</w:t>
      </w:r>
    </w:p>
    <w:p>
      <w:pPr>
        <w:pStyle w:val="Heading1"/>
        <w:spacing w:after="160" w:before="320"/>
      </w:pPr>
      <w:r>
        <w:t xml:space="preserve">2. Pourquoi ces secrets restent en dehors du coffre-fort</w:t>
      </w:r>
    </w:p>
    <w:p>
      <w:pPr>
        <w:spacing w:after="160"/>
      </w:pPr>
      <w:r>
        <w:t xml:space="preserve">Le coffre-fort applicatif de l'organisation offre un chiffrement de bout en bout robuste, mais il est conçu pour un usage humain, interactif, via une interface protégée par l'authentification unique (Keycloak). Les secrets de démarrage (mots de passe applicatifs, clés SSH) doivent au contraire être disponibles pour les programmes eux-mêmes, avant tout démarrage, sans intervention humaine possible à cet instant.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6A017" w:sz="6"/>
              <w:left w:val="single" w:color="D6A017" w:sz="6"/>
              <w:bottom w:val="single" w:color="D6A017" w:sz="6"/>
              <w:right w:val="single" w:color="D6A017" w:sz="6"/>
            </w:tcBorders>
            <w:shd w:fill="FFF3CD" w:val="clear"/>
            <w:tcMar>
              <w:top w:type="dxa" w:w="160"/>
              <w:left w:type="dxa" w:w="200"/>
              <w:bottom w:type="dxa" w:w="160"/>
              <w:right w:type="dxa" w:w="200"/>
            </w:tcMar>
          </w:tcPr>
          <w:p>
            <w:pPr>
              <w:spacing w:after="100"/>
            </w:pPr>
            <w:r>
              <w:rPr>
                <w:b/>
                <w:bCs/>
              </w:rPr>
              <w:t xml:space="preserve">Risque de boucle identifié : </w:t>
            </w:r>
          </w:p>
          <w:p>
            <w:r>
              <w:t xml:space="preserve">Si un secret nécessaire au démarrage du système d'authentification (Keycloak) lui-même était stocké uniquement dans le coffre-fort, une situation de blocage total deviendrait possible : impossible de démarrer Keycloak sans ce secret, impossible d'accéder au coffre-fort sans Keycloak déjà démarré. La clé maîtresse décrite dans ce document est donc volontairement indépendante du coffre-fort et de Keycloak.</w:t>
            </w:r>
          </w:p>
        </w:tc>
      </w:tr>
    </w:tbl>
    <w:p>
      <w:pPr>
        <w:pStyle w:val="Heading1"/>
        <w:spacing w:after="160" w:before="320"/>
      </w:pPr>
      <w:r>
        <w:t xml:space="preserve">3. Principe technique retenu</w:t>
      </w:r>
    </w:p>
    <w:p>
      <w:pPr>
        <w:spacing w:after="160"/>
      </w:pPr>
      <w:r>
        <w:t xml:space="preserve">Une phrase de passe maîtresse, connue uniquement des personnes habilitées (voir section 4), sert à dériver une clé de chiffrement (PBKDF2-HMAC-SHA256, 600 000 itérations — recommandation actuelle de l'OWASP) qui protège les secrets de démarrage. Cette phrase de passe n'est JAMAIS enregistrée sur le disque des serveurs : elle doit être ressaisie à chaque déploiement nécessitant un déchiffrement.</w:t>
      </w:r>
    </w:p>
    <w:p>
      <w:pPr>
        <w:spacing w:after="160"/>
      </w:pPr>
      <w:r>
        <w:t xml:space="preserve">Le sel cryptographique associé (non secret, mais indispensable à la vérification) est conservé aux côtés des données chiffrées. Il ne doit en revanche jamais être régénéré : cela rendrait tout ce qui a déjà été chiffré définitivement illisible, même avec la bonne phrase de passe.</w:t>
      </w:r>
    </w:p>
    <w:p>
      <w:pPr>
        <w:pStyle w:val="Heading1"/>
        <w:spacing w:after="160" w:before="320"/>
      </w:pPr>
      <w:r>
        <w:t xml:space="preserve">4. Garde de la phrase de passe maîtresse</w:t>
      </w:r>
    </w:p>
    <w:p>
      <w:pPr>
        <w:spacing w:after="160"/>
      </w:pPr>
      <w:r>
        <w:t xml:space="preserve">Procédure retenue, combinant trois canaux distincts pour ne dépendre ni d'une seule personne, ni d'un seul moyen de communication :</w:t>
      </w:r>
    </w:p>
    <w:p>
      <w:pPr>
        <w:pStyle w:val="ListParagraph"/>
        <w:numPr>
          <w:ilvl w:val="0"/>
          <w:numId w:val="2"/>
        </w:numPr>
        <w:spacing w:after="80"/>
      </w:pPr>
      <w:r>
        <w:t xml:space="preserve">La phrase de passe elle-même, connue des personnes habilitées désignées.</w:t>
      </w:r>
    </w:p>
    <w:p>
      <w:pPr>
        <w:pStyle w:val="ListParagraph"/>
        <w:numPr>
          <w:ilvl w:val="0"/>
          <w:numId w:val="2"/>
        </w:numPr>
        <w:spacing w:after="80"/>
      </w:pPr>
      <w:r>
        <w:t xml:space="preserve">Un code de vérification transmis par SMS, via la route machine de la passerelle SMS (identifiants directs — clé de service ou identifiants applicatifs avec le droit "send" — indépendante de l'authentification unique Keycloak) — choisie précisément parce qu'elle reste fonctionnelle même si Keycloak est indisponible.</w:t>
      </w:r>
    </w:p>
    <w:p>
      <w:pPr>
        <w:pStyle w:val="ListParagraph"/>
        <w:numPr>
          <w:ilvl w:val="0"/>
          <w:numId w:val="2"/>
        </w:numPr>
        <w:spacing w:after="80"/>
      </w:pPr>
      <w:r>
        <w:t xml:space="preserve">Une alerte par courriel envoyée à des adresses non personnelles (boîtes partagées de l'organisation, non rattachées à un individu) — pour garantir une visibilité institutionnelle de tout usage de la phrase de passe, indépendante de la disponibilité d'une personne en particulier.</w:t>
      </w:r>
    </w:p>
    <w:p>
      <w:pPr>
        <w:spacing w:after="160"/>
      </w:pPr>
      <w:r>
        <w:t xml:space="preserve">Le détail opérationnel (qui sont précisément les personnes habilitées, quel est le numéro de réception SMS, quelles sont les adresses courriel concernées) est volontairement tenu hors de ce document et géré séparément, pour ne pas exposer ces informations dans un document plus largement diffusable.</w:t>
      </w:r>
    </w:p>
    <w:p>
      <w:pPr>
        <w:pStyle w:val="Heading1"/>
        <w:spacing w:after="160" w:before="320"/>
      </w:pPr>
      <w:r>
        <w:t xml:space="preserve">5. Scénarios de reprise</w:t>
      </w:r>
    </w:p>
    <w:p>
      <w:pPr>
        <w:pStyle w:val="Heading2"/>
        <w:spacing w:after="120" w:before="240"/>
      </w:pPr>
      <w:r>
        <w:t xml:space="preserve">5.1 Perte ou indisponibilité d'une personne habilitée</w:t>
      </w:r>
    </w:p>
    <w:p>
      <w:pPr>
        <w:spacing w:after="160"/>
      </w:pPr>
      <w:r>
        <w:t xml:space="preserve">Les deux autres canaux (SMS, alerte courriel institutionnelle) permettent de vérifier et tracer l'usage de la phrase de passe sans dépendre uniquement de cette personne. La phrase de passe elle-même doit néanmoins rester connue d'au moins une autre personne habilitée en permanence — un point à vérifier régulièrement (voir section 6).</w:t>
      </w:r>
    </w:p>
    <w:p>
      <w:pPr>
        <w:pStyle w:val="Heading2"/>
        <w:spacing w:after="120" w:before="240"/>
      </w:pPr>
      <w:r>
        <w:t xml:space="preserve">5.2 Keycloak indisponible</w:t>
      </w:r>
    </w:p>
    <w:p>
      <w:pPr>
        <w:spacing w:after="160"/>
      </w:pPr>
      <w:r>
        <w:t xml:space="preserve">Sans impact sur cette procédure : ni la phrase de passe, ni le canal SMS (route machine, indépendante de Keycloak), ni l'alerte courriel ne dépendent de la disponibilité de Keycloak. C'est précisément la raison d'être de cette indépendance (voir section 2).</w:t>
      </w:r>
    </w:p>
    <w:p>
      <w:pPr>
        <w:pStyle w:val="Heading2"/>
        <w:spacing w:after="120" w:before="240"/>
      </w:pPr>
      <w:r>
        <w:t xml:space="preserve">5.3 Perte de la phrase de passe maîtresse elle-même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0392B" w:sz="6"/>
              <w:left w:val="single" w:color="C0392B" w:sz="6"/>
              <w:bottom w:val="single" w:color="C0392B" w:sz="6"/>
              <w:right w:val="single" w:color="C0392B" w:sz="6"/>
            </w:tcBorders>
            <w:shd w:fill="F8D7DA" w:val="clear"/>
            <w:tcMar>
              <w:top w:type="dxa" w:w="160"/>
              <w:left w:type="dxa" w:w="200"/>
              <w:bottom w:type="dxa" w:w="160"/>
              <w:right w:type="dxa" w:w="200"/>
            </w:tcMar>
          </w:tcPr>
          <w:p>
            <w:pPr>
              <w:spacing w:after="100"/>
            </w:pPr>
            <w:r>
              <w:rPr>
                <w:b/>
                <w:bCs/>
              </w:rPr>
              <w:t xml:space="preserve">Scénario critique — pas de porte dérobée. </w:t>
            </w:r>
          </w:p>
          <w:p>
            <w:r>
              <w:t xml:space="preserve">Si la phrase de passe maîtresse est définitivement perdue (oubliée, personnes habilitées toutes indisponibles), les secrets chiffrés avec deviennent DÉFINITIVEMENT irrécupérables. Aucune porte dérobée n'existe ni ne doit être introduite dans le mécanisme de chiffrement. La seule parade est préventive : s'assurer qu'au moins deux personnes habilitées connaissent la phrase de passe à tout moment, et que la procédure de la section 4 reste opérationnelle.</w:t>
            </w:r>
          </w:p>
        </w:tc>
      </w:tr>
    </w:tbl>
    <w:p>
      <w:pPr>
        <w:spacing w:after="160"/>
      </w:pPr>
      <w:r>
        <w:t xml:space="preserve">En cas de perte confirmée, la seule voie de reprise est de redéfinir une nouvelle phrase de passe et de ressaisir individuellement chaque secret concerné (mots de passe applicatifs, clés SSH) à partir de ses sources d'origine ou de ses détenteurs respectifs.</w:t>
      </w:r>
    </w:p>
    <w:p>
      <w:pPr>
        <w:pStyle w:val="Heading1"/>
        <w:spacing w:after="160" w:before="320"/>
      </w:pPr>
      <w:r>
        <w:t xml:space="preserve">6. Révision de cette procédure</w:t>
      </w:r>
    </w:p>
    <w:p>
      <w:pPr>
        <w:spacing w:after="160"/>
      </w:pPr>
      <w:r>
        <w:t xml:space="preserve">Cette procédure doit être revue : à chaque changement parmi les personnes habilitées, à chaque changement du numéro ou de l'adresse utilisés pour les canaux SMS/courriel, et au minimum une fois par an. La revue doit vérifier concrètement que les trois canaux (phrase de passe, SMS, courriel) restent fonctionnels et à jour.</w:t>
      </w:r>
    </w:p>
    <w:p>
      <w:pPr>
        <w:pStyle w:val="Heading1"/>
        <w:spacing w:after="160" w:before="320"/>
      </w:pPr>
      <w:r>
        <w:t xml:space="preserve">7. État d'avancement technique</w:t>
      </w:r>
    </w:p>
    <w:p>
      <w:pPr>
        <w:spacing w:after="160"/>
      </w:pPr>
      <w:r>
        <w:t xml:space="preserve">Les primitives de chiffrement (dérivation de clé, chiffrement/déchiffrement) sont construites et testées. Restent à construire : la ressaisie de la phrase de passe au démarrage effectif du système, la migration des secrets actuellement en clair, et le déclenchement automatique des deux canaux d'alerte décrits en section 4.</w:t>
      </w:r>
    </w:p>
    <w:p>
      <w:pPr>
        <w:spacing w:after="160"/>
      </w:pPr>
      <w:r>
        <w:t xml:space="preserve">Concernant ces deux canaux, vérifié directement dans le code de la passerelle SMS : la route machine d'envoi (« /send ») existe déjà et fonctionne indépendamment de Keycloak (clé de service ou identifiants applicatifs) — réutilisable telle quelle pour le canal SMS. La capacité d'envoi de courriel qu'elle contient est en revanche strictement interne à la redistribution des SMS reçus ; elle n'est pas exposée comme un service réutilisable depuis l'extérieur. Le canal courriel de cette procédure reste donc à construire — soit comme capacité propre, soit comme extension de la passerelle existante, ce choix restant à trancher.</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2026-09-02T17:30:36.352Z</dcterms:created>
  <dcterms:modified xsi:type="dcterms:W3CDTF">2026-09-02T17:30:36.352Z</dcterms:modified>
</cp:coreProperties>
</file>

<file path=docProps/custom.xml><?xml version="1.0" encoding="utf-8"?>
<Properties xmlns="http://schemas.openxmlformats.org/officeDocument/2006/custom-properties" xmlns:vt="http://schemas.openxmlformats.org/officeDocument/2006/docPropsVTypes"/>
</file>