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7548C" w14:textId="77777777" w:rsidR="00595F28" w:rsidRDefault="00595F28" w:rsidP="00595F28">
      <w:pPr>
        <w:rPr>
          <w:rFonts w:eastAsia="Calibri"/>
          <w:color w:val="000000"/>
        </w:rPr>
      </w:pPr>
      <w:r>
        <w:rPr>
          <w:rFonts w:eastAsia="Calibri"/>
          <w:color w:val="000000"/>
        </w:rPr>
        <w:tab/>
      </w:r>
    </w:p>
    <w:p w14:paraId="5132432B" w14:textId="50F42BBF" w:rsidR="008739EF" w:rsidRPr="00B22EB0" w:rsidRDefault="00D22051" w:rsidP="008739EF">
      <w:pPr>
        <w:jc w:val="center"/>
        <w:rPr>
          <w:sz w:val="28"/>
          <w:vertAlign w:val="superscript"/>
        </w:rPr>
      </w:pPr>
      <w:r>
        <w:rPr>
          <w:sz w:val="28"/>
        </w:rPr>
        <w:t>ModelSEED: Assembling a biological thermodynamic database</w:t>
      </w:r>
    </w:p>
    <w:p w14:paraId="10479F3E" w14:textId="30FAFF1A" w:rsidR="008739EF" w:rsidRPr="00B22EB0" w:rsidRDefault="008739EF" w:rsidP="008739EF">
      <w:pPr>
        <w:jc w:val="center"/>
        <w:rPr>
          <w:vertAlign w:val="superscript"/>
        </w:rPr>
      </w:pPr>
      <w:r w:rsidRPr="00B22EB0">
        <w:t>Andrew Philip Freiburger</w:t>
      </w:r>
      <w:r w:rsidRPr="00B22EB0">
        <w:rPr>
          <w:vertAlign w:val="superscript"/>
        </w:rPr>
        <w:t>1</w:t>
      </w:r>
      <w:r>
        <w:rPr>
          <w:vertAlign w:val="superscript"/>
        </w:rPr>
        <w:t xml:space="preserve">, </w:t>
      </w:r>
      <w:r>
        <w:t xml:space="preserve">*, </w:t>
      </w:r>
      <w:r w:rsidR="00D22051">
        <w:t>Sam Seaver</w:t>
      </w:r>
      <w:r w:rsidR="00D22051">
        <w:rPr>
          <w:sz w:val="20"/>
          <w:vertAlign w:val="superscript"/>
        </w:rPr>
        <w:t>2</w:t>
      </w:r>
      <w:r w:rsidR="00D22051">
        <w:t>, Chris Henry</w:t>
      </w:r>
      <w:r w:rsidR="00D22051">
        <w:rPr>
          <w:sz w:val="20"/>
          <w:vertAlign w:val="superscript"/>
        </w:rPr>
        <w:t>2</w:t>
      </w:r>
      <w:r w:rsidR="00D22051">
        <w:t xml:space="preserve">, </w:t>
      </w:r>
      <w:r>
        <w:t>Ethan Chan</w:t>
      </w:r>
      <w:r w:rsidR="00D22051">
        <w:rPr>
          <w:vertAlign w:val="superscript"/>
        </w:rPr>
        <w:t>1</w:t>
      </w:r>
      <w:r>
        <w:t xml:space="preserve">, and Heather L. Buckley </w:t>
      </w:r>
      <w:r w:rsidRPr="00B22EB0">
        <w:rPr>
          <w:sz w:val="20"/>
          <w:vertAlign w:val="superscript"/>
        </w:rPr>
        <w:t>1</w:t>
      </w:r>
      <w:r>
        <w:rPr>
          <w:sz w:val="20"/>
          <w:vertAlign w:val="superscript"/>
        </w:rPr>
        <w:t>,</w:t>
      </w:r>
      <w:r w:rsidR="00D22051">
        <w:rPr>
          <w:sz w:val="20"/>
          <w:vertAlign w:val="superscript"/>
        </w:rPr>
        <w:t>3</w:t>
      </w:r>
    </w:p>
    <w:p w14:paraId="26B4C01A" w14:textId="77777777" w:rsidR="008739EF" w:rsidRPr="00B22EB0" w:rsidRDefault="008739EF" w:rsidP="008739EF">
      <w:pPr>
        <w:jc w:val="center"/>
        <w:rPr>
          <w:vertAlign w:val="superscript"/>
        </w:rPr>
      </w:pPr>
    </w:p>
    <w:p w14:paraId="7F3A7038" w14:textId="18B39E5E" w:rsidR="008739EF" w:rsidRDefault="008739EF" w:rsidP="00D22051">
      <w:pPr>
        <w:rPr>
          <w:sz w:val="20"/>
        </w:rPr>
      </w:pPr>
      <w:r w:rsidRPr="00B22EB0">
        <w:rPr>
          <w:sz w:val="20"/>
          <w:vertAlign w:val="superscript"/>
        </w:rPr>
        <w:t>1</w:t>
      </w:r>
      <w:r>
        <w:rPr>
          <w:sz w:val="20"/>
        </w:rPr>
        <w:t xml:space="preserve">Civil Engineering and </w:t>
      </w:r>
      <w:r w:rsidR="00D22051">
        <w:rPr>
          <w:sz w:val="20"/>
          <w:vertAlign w:val="superscript"/>
        </w:rPr>
        <w:t>3</w:t>
      </w:r>
      <w:r>
        <w:rPr>
          <w:sz w:val="20"/>
        </w:rPr>
        <w:t xml:space="preserve"> Chemistry</w:t>
      </w:r>
      <w:r w:rsidR="00D22051">
        <w:rPr>
          <w:sz w:val="20"/>
        </w:rPr>
        <w:t xml:space="preserve"> Departments</w:t>
      </w:r>
      <w:r w:rsidR="00D22051" w:rsidRPr="00B22EB0">
        <w:rPr>
          <w:sz w:val="20"/>
        </w:rPr>
        <w:t xml:space="preserve"> </w:t>
      </w:r>
      <w:r w:rsidR="00D22051">
        <w:rPr>
          <w:sz w:val="20"/>
        </w:rPr>
        <w:t xml:space="preserve">at the </w:t>
      </w:r>
      <w:r w:rsidR="00D22051" w:rsidRPr="00B22EB0">
        <w:rPr>
          <w:sz w:val="20"/>
        </w:rPr>
        <w:t xml:space="preserve">University of Victoria </w:t>
      </w:r>
    </w:p>
    <w:p w14:paraId="298465C4" w14:textId="13F0C584" w:rsidR="00D22051" w:rsidRPr="00D22051" w:rsidRDefault="00D22051" w:rsidP="008739EF">
      <w:pPr>
        <w:rPr>
          <w:sz w:val="20"/>
        </w:rPr>
      </w:pPr>
      <w:r w:rsidRPr="00D22051">
        <w:rPr>
          <w:sz w:val="20"/>
          <w:vertAlign w:val="superscript"/>
        </w:rPr>
        <w:t>2</w:t>
      </w:r>
      <w:r>
        <w:rPr>
          <w:sz w:val="20"/>
        </w:rPr>
        <w:t>Argonne National Laboratory</w:t>
      </w:r>
    </w:p>
    <w:p w14:paraId="7FF01F2F" w14:textId="77777777" w:rsidR="008739EF" w:rsidRPr="00B22EB0" w:rsidRDefault="008739EF" w:rsidP="008739EF">
      <w:pPr>
        <w:rPr>
          <w:sz w:val="20"/>
        </w:rPr>
      </w:pPr>
      <w:r>
        <w:rPr>
          <w:sz w:val="20"/>
        </w:rPr>
        <w:t xml:space="preserve">* Author for contact </w:t>
      </w:r>
      <w:r w:rsidRPr="00B22EB0">
        <w:rPr>
          <w:sz w:val="20"/>
        </w:rPr>
        <w:t xml:space="preserve"> </w:t>
      </w:r>
      <w:hyperlink r:id="rId5" w:history="1">
        <w:r w:rsidRPr="00B22EB0">
          <w:rPr>
            <w:color w:val="0563C1" w:themeColor="hyperlink"/>
            <w:sz w:val="20"/>
            <w:u w:val="single"/>
          </w:rPr>
          <w:t>andrewfreiburger@gmail.com</w:t>
        </w:r>
      </w:hyperlink>
      <w:r w:rsidRPr="00B22EB0">
        <w:rPr>
          <w:sz w:val="20"/>
        </w:rPr>
        <w:t xml:space="preserve">; </w:t>
      </w:r>
    </w:p>
    <w:p w14:paraId="4746DC09" w14:textId="77777777" w:rsidR="00336F56" w:rsidRDefault="00336F56" w:rsidP="006251E5">
      <w:pPr>
        <w:rPr>
          <w:rFonts w:eastAsia="Times New Roman"/>
          <w:b/>
          <w:color w:val="2E74B5"/>
          <w:sz w:val="32"/>
          <w:szCs w:val="32"/>
        </w:rPr>
      </w:pPr>
      <w:bookmarkStart w:id="0" w:name="_Toc59745055"/>
      <w:bookmarkStart w:id="1" w:name="_Toc59745056"/>
    </w:p>
    <w:p w14:paraId="3AF88A4A" w14:textId="4EB31559" w:rsidR="006251E5" w:rsidRPr="00D22051" w:rsidRDefault="006251E5" w:rsidP="006251E5">
      <w:pPr>
        <w:rPr>
          <w:rFonts w:eastAsia="Calibri"/>
          <w:b/>
          <w:color w:val="000000"/>
        </w:rPr>
      </w:pPr>
      <w:r w:rsidRPr="00A90054">
        <w:rPr>
          <w:rFonts w:eastAsia="Times New Roman"/>
          <w:b/>
          <w:color w:val="2E74B5"/>
          <w:sz w:val="32"/>
          <w:szCs w:val="32"/>
        </w:rPr>
        <w:t>Abstract</w:t>
      </w:r>
      <w:bookmarkEnd w:id="0"/>
    </w:p>
    <w:bookmarkEnd w:id="1"/>
    <w:p w14:paraId="1E347280" w14:textId="58FC8807" w:rsidR="00937F51" w:rsidRPr="00937F51" w:rsidRDefault="00AC6B90" w:rsidP="00666DEA">
      <w:pPr>
        <w:jc w:val="both"/>
      </w:pPr>
      <w:r w:rsidRPr="00AC6B90">
        <w:rPr>
          <w:b/>
        </w:rPr>
        <w:t>Summary:</w:t>
      </w:r>
      <w:r>
        <w:rPr>
          <w:b/>
        </w:rPr>
        <w:t xml:space="preserve"> </w:t>
      </w:r>
      <w:r w:rsidR="00336F56">
        <w:t>Computational biology is predicated upon biochemical databases. The Thermodynamics of Enzyme-Catalyzed Reactions database (TECRDB) by NIST is a renowned database of thermodynamic reactions, however, the website has become neglected and consequently the data has become inaccessible to biological modelers. We present work that salvaged, reformatted, and contributed the TECRDB data to the ModelSEED database, where the data will be actively curated and readily accessible to biological modelers. The</w:t>
      </w:r>
      <w:r w:rsidR="00E21DEB">
        <w:t xml:space="preserve"> </w:t>
      </w:r>
      <w:r w:rsidR="00336F56">
        <w:t xml:space="preserve">salvaging, reformatting, and contributing methods were completed through Python </w:t>
      </w:r>
      <w:r w:rsidR="00E21DEB">
        <w:t>scripts</w:t>
      </w:r>
      <w:r w:rsidR="00336F56">
        <w:t>, which are provided with the associated</w:t>
      </w:r>
      <w:r w:rsidR="00E21DEB">
        <w:t xml:space="preserve"> documentation </w:t>
      </w:r>
      <w:r w:rsidR="00336F56">
        <w:t xml:space="preserve">in </w:t>
      </w:r>
      <w:r w:rsidR="00E21DEB">
        <w:t xml:space="preserve">our </w:t>
      </w:r>
      <w:r w:rsidR="00336F56">
        <w:t>G</w:t>
      </w:r>
      <w:r w:rsidR="00E21DEB">
        <w:t>it</w:t>
      </w:r>
      <w:r w:rsidR="00336F56">
        <w:t>H</w:t>
      </w:r>
      <w:r w:rsidR="00E21DEB">
        <w:t>ub repository (</w:t>
      </w:r>
      <w:hyperlink r:id="rId6" w:history="1">
        <w:r w:rsidR="00E21DEB" w:rsidRPr="00E309D1">
          <w:rPr>
            <w:rStyle w:val="Hyperlink"/>
          </w:rPr>
          <w:t>https://github.com/freiburgermsu/Biochemical-databases</w:t>
        </w:r>
      </w:hyperlink>
      <w:r w:rsidR="00E21DEB">
        <w:t>).</w:t>
      </w:r>
    </w:p>
    <w:p w14:paraId="71DE25AA" w14:textId="6C19ADD0" w:rsidR="00CF4A3B" w:rsidRPr="00CF4A3B" w:rsidRDefault="00CF4A3B" w:rsidP="007D1B68">
      <w:pPr>
        <w:rPr>
          <w:b/>
        </w:rPr>
      </w:pPr>
    </w:p>
    <w:p w14:paraId="6F0C954C" w14:textId="77777777" w:rsidR="007D1B68" w:rsidRDefault="007D1B68">
      <w:r>
        <w:br w:type="page"/>
      </w:r>
    </w:p>
    <w:p w14:paraId="083A47DD" w14:textId="302DFB40" w:rsidR="00581D64" w:rsidRDefault="00795B45" w:rsidP="00597B37">
      <w:pPr>
        <w:ind w:firstLine="720"/>
        <w:jc w:val="both"/>
      </w:pPr>
      <w:r>
        <w:lastRenderedPageBreak/>
        <w:t>S</w:t>
      </w:r>
      <w:r w:rsidR="00276FC7">
        <w:t>ystems biology and bioinformatics</w:t>
      </w:r>
      <w:r>
        <w:t xml:space="preserve"> are </w:t>
      </w:r>
      <w:r w:rsidR="00A11732">
        <w:t>test theoretical and experimental biology. W</w:t>
      </w:r>
      <w:r>
        <w:t xml:space="preserve">hole cell models </w:t>
      </w:r>
      <w:r w:rsidR="001914A2">
        <w:fldChar w:fldCharType="begin" w:fldLock="1"/>
      </w:r>
      <w:r w:rsidR="00587F71">
        <w:instrText>ADDIN CSL_CITATION {"citationItems":[{"id":"ITEM-1","itemData":{"author":[{"dropping-particle":"","family":"Karr","given":"Jonathan","non-dropping-particle":"","parse-names":false,"suffix":""},{"dropping-particle":"","family":"Goldberg","given":"Arthur","non-dropping-particle":"","parse-names":false,"suffix":""}],"id":"ITEM-1","issued":{"date-parts":[["2020"]]},"title":"An introduction to whole-cell modeling","type":"article-journal"},"uris":["http://www.mendeley.com/documents/?uuid=2402b18f-049b-48ab-b5ba-4b4bcdba9863"]}],"mendeley":{"formattedCitation":"(Karr and Goldberg, 2020)","plainTextFormattedCitation":"(Karr and Goldberg, 2020)","previouslyFormattedCitation":"(Karr and Goldberg, 2020)"},"properties":{"noteIndex":0},"schema":"https://github.com/citation-style-language/schema/raw/master/csl-citation.json"}</w:instrText>
      </w:r>
      <w:r w:rsidR="001914A2">
        <w:fldChar w:fldCharType="separate"/>
      </w:r>
      <w:r w:rsidR="00753FE0" w:rsidRPr="00753FE0">
        <w:rPr>
          <w:noProof/>
        </w:rPr>
        <w:t>(Karr and Goldberg, 2020)</w:t>
      </w:r>
      <w:r w:rsidR="001914A2">
        <w:fldChar w:fldCharType="end"/>
      </w:r>
      <w:r w:rsidR="00A11732">
        <w:t>, for example,</w:t>
      </w:r>
      <w:r>
        <w:t xml:space="preserve"> critique </w:t>
      </w:r>
      <w:r w:rsidR="009A471C">
        <w:t xml:space="preserve">theoretical </w:t>
      </w:r>
      <w:r w:rsidR="00A11732">
        <w:t xml:space="preserve">schema of interacting </w:t>
      </w:r>
      <w:r w:rsidR="00A11732">
        <w:t xml:space="preserve">biological systems </w:t>
      </w:r>
      <w:r w:rsidR="00A11732">
        <w:t xml:space="preserve">whilst also predicting </w:t>
      </w:r>
      <w:r w:rsidR="009A471C">
        <w:t xml:space="preserve">experimental </w:t>
      </w:r>
      <w:r w:rsidR="00A11732">
        <w:t>results by perturbing parameters</w:t>
      </w:r>
      <w:r w:rsidR="00276FC7">
        <w:t>. The</w:t>
      </w:r>
      <w:r w:rsidR="00581D64">
        <w:t xml:space="preserve">se systems-level models are predicated upon </w:t>
      </w:r>
      <w:r w:rsidR="000D0C6B">
        <w:t xml:space="preserve">biochemical </w:t>
      </w:r>
      <w:r w:rsidR="00581D64">
        <w:t xml:space="preserve">data and </w:t>
      </w:r>
      <w:r w:rsidR="00C35205">
        <w:t>database</w:t>
      </w:r>
      <w:r w:rsidR="000D0C6B">
        <w:t>s</w:t>
      </w:r>
      <w:r w:rsidR="00C35205">
        <w:t xml:space="preserve"> </w:t>
      </w:r>
      <w:r w:rsidR="000D0C6B">
        <w:fldChar w:fldCharType="begin" w:fldLock="1"/>
      </w:r>
      <w:r w:rsidR="0018312A">
        <w:instrText>ADDIN CSL_CITATION {"citationItems":[{"id":"ITEM-1","itemData":{"DOI":"10.1007/s00354-019-00066-y","ISBN":"0123456789","ISSN":"18827055","abstract":"Gaining knowledge and engineering of biological systems require comprehensive models of cellular physiology with 100% predictability. The whole-cell models direct experiments in molecular biological science and empower simulation and computer-aided design in synthetic biology. Whole-cell modeling and simulation help in personalized medical treatment building a biological system through cell interactions. In addition, the whole-cell model can address specific issues such as transcription, regulation, pathways for protein expression and many more. Constructing comprehensive whole-cell models with enough detail and validating them is a massive work. Though considering available parameters and pathways, modeling and simulation of a cell are partially successful, still, there exist a lot of more challenges that need to be tackled. Notwithstanding the immense challenges, whole-cell models are quickly getting to be viable. This paper briefly reviews the cutting edge of existing methods and techniques with their present status and the reason for improvements required in various stages of whole-cell modeling such as (1) collection of data, (2) designing tools and model building, (3) acceleration of simulation speed and (4) visualizing and analyzing.","author":[{"dropping-particle":"","family":"Bhat","given":"Nayana G.","non-dropping-particle":"","parse-names":false,"suffix":""},{"dropping-particle":"","family":"Balaji","given":"S.","non-dropping-particle":"","parse-names":false,"suffix":""}],"container-title":"New Generation Computing","id":"ITEM-1","issue":"1","issued":{"date-parts":[["2020"]]},"page":"259-281","publisher":"Ohmsha","title":"Whole-Cell Modeling and Simulation: A Brief Survey","type":"article-journal","volume":"38"},"uris":["http://www.mendeley.com/documents/?uuid=a1e8f79f-a8c3-4522-bf77-215eac45464a"]},{"id":"ITEM-2","itemData":{"DOI":"10.1186/1755-8794-1-18","ISSN":"1755-8794","abstract":"BACKGROUND: Mycobacterium tuberculosis, the causative agent of tuberculosis (TB), infects approximately 8 million annually culminating in approximately 2 million deaths. Moreover, about one third of the population is latently infected, 10% of which develop disease during lifetime. Current approved prophylactic TB vaccines (BCG and derivatives thereof) are of variable efficiency in adult protection against pulmonary TB (0%-80%), and directed essentially against early phase infection. METHODS: A genome-scale dataset was constructed by analyzing published data of: (1) global gene expression studies under conditions which simulate intra-macrophage stress, dormancy, persistence and/or reactivation; (2) cellular and humoral immunity, and vaccine potential. This information was compiled along with revised annotation/bioinformatic characterization of selected gene products and in silico mapping of T-cell epitopes. Protocols for scoring, ranking and prioritization of the antigens were developed and applied. RESULTS: Cross-matching of literature and in silico-derived data, in conjunction with the prioritization scheme and biological rationale, allowed for selection of 189 putative vaccine candidates from the entire genome. Within the 189 set, the relative distribution of antigens in 3 functional categories differs significantly from their distribution in the whole genome, with reduction in the Conserved hypothetical category (due to improved annotation) and enrichment in Lipid and in Virulence categories. Other prominent representatives in the 189 set are the PE/PPE proteins; iron sequestration, nitroreductases and proteases, all within the Intermediary metabolism and respiration category; ESX secretion systems, resuscitation promoting factors and lipoproteins, all within the Cell wall category. Application of a ranking scheme based on qualitative and quantitative scores, resulted in a list of 45 best-scoring antigens, of which: 74% belong to the dormancy/reactivation/resuscitation classes; 30% belong to the Cell wall category; 13% are classical vaccine candidates; 9% are categorized Conserved hypotheticals, all potentially very potent T-cell antigens. CONCLUSION: The comprehensive literature and in silico-based analyses allowed for the selection of a repertoire of 189 vaccine candidates, out of the whole-genome 3989 ORF products. This repertoire, which was ranked to generate a list of 45 top-hits antigens, is a platform for selection of genes covering all stages…","author":[{"dropping-particle":"","family":"Zvi","given":"Anat","non-dropping-particle":"","parse-names":false,"suffix":""},{"dropping-particle":"","family":"Ariel","given":"Naomi","non-dropping-particle":"","parse-names":false,"suffix":""},{"dropping-particle":"","family":"Fulkerson","given":"John","non-dropping-particle":"","parse-names":false,"suffix":""},{"dropping-particle":"","family":"Sadoff","given":"Jerald C","non-dropping-particle":"","parse-names":false,"suffix":""},{"dropping-particle":"","family":"Shafferman","given":"Avigdor","non-dropping-particle":"","parse-names":false,"suffix":""}],"container-title":"BMC Medical Genomics","id":"ITEM-2","issue":"1","issued":{"date-parts":[["2008"]]},"page":"1-25","title":"Whole genome identification of Mycobacterium tuberculosisvaccine candidates by comprehensive data mining and bioinformatic analyses","type":"article-journal","volume":"1"},"uris":["http://www.mendeley.com/documents/?uuid=a85bbdb0-60af-45a7-bea2-f6fa99e69b78"]},{"id":"ITEM-3","itemData":{"DOI":"10.1093/bioinformatics/19.2.305","ISSN":"13674803","PMID":"12538262","abstract":"G-language Genome Analysis Environment (G-language GAE) is an open source generic software package aimed for higher efficiency in bioinformatics analysis. G-language GAE has an interface as a set of Perl libraries for software development, and a graphical user interface for easy manipulation. Both Windows and Linux versions are available.","author":[{"dropping-particle":"","family":"Arakawa","given":"K.","non-dropping-particle":"","parse-names":false,"suffix":""},{"dropping-particle":"","family":"Mori","given":"K.","non-dropping-particle":"","parse-names":false,"suffix":""},{"dropping-particle":"","family":"Ikeda","given":"K.","non-dropping-particle":"","parse-names":false,"suffix":""},{"dropping-particle":"","family":"Matsuzaki","given":"T.","non-dropping-particle":"","parse-names":false,"suffix":""},{"dropping-particle":"","family":"Kobayashi","given":"Y.","non-dropping-particle":"","parse-names":false,"suffix":""},{"dropping-particle":"","family":"Tomita","given":"M.","non-dropping-particle":"","parse-names":false,"suffix":""}],"container-title":"Bioinformatics","id":"ITEM-3","issue":"2","issued":{"date-parts":[["2003"]]},"page":"305-306","title":"G-language genome analysis environment: A workbench for nucleotide sequence data mining","type":"article-journal","volume":"19"},"uris":["http://www.mendeley.com/documents/?uuid=17111765-11a9-4d1c-928d-5e09d5a0b0a3"]}],"mendeley":{"formattedCitation":"(Bhat and Balaji, 2020; Zvi &lt;i&gt;et al.&lt;/i&gt;, 2008; Arakawa &lt;i&gt;et al.&lt;/i&gt;, 2003)","plainTextFormattedCitation":"(Bhat and Balaji, 2020; Zvi et al., 2008; Arakawa et al., 2003)","previouslyFormattedCitation":"(Bhat and Balaji, 2020; Zvi &lt;i&gt;et al.&lt;/i&gt;, 2008; Arakawa &lt;i&gt;et al.&lt;/i&gt;, 2003)"},"properties":{"noteIndex":0},"schema":"https://github.com/citation-style-language/schema/raw/master/csl-citation.json"}</w:instrText>
      </w:r>
      <w:r w:rsidR="000D0C6B">
        <w:fldChar w:fldCharType="separate"/>
      </w:r>
      <w:r w:rsidR="000D0C6B" w:rsidRPr="000D0C6B">
        <w:rPr>
          <w:noProof/>
        </w:rPr>
        <w:t xml:space="preserve">(Bhat and Balaji, 2020; Zvi </w:t>
      </w:r>
      <w:r w:rsidR="000D0C6B" w:rsidRPr="000D0C6B">
        <w:rPr>
          <w:i/>
          <w:noProof/>
        </w:rPr>
        <w:t>et al.</w:t>
      </w:r>
      <w:r w:rsidR="000D0C6B" w:rsidRPr="000D0C6B">
        <w:rPr>
          <w:noProof/>
        </w:rPr>
        <w:t xml:space="preserve">, 2008; Arakawa </w:t>
      </w:r>
      <w:r w:rsidR="000D0C6B" w:rsidRPr="000D0C6B">
        <w:rPr>
          <w:i/>
          <w:noProof/>
        </w:rPr>
        <w:t>et al.</w:t>
      </w:r>
      <w:r w:rsidR="000D0C6B" w:rsidRPr="000D0C6B">
        <w:rPr>
          <w:noProof/>
        </w:rPr>
        <w:t>, 2003)</w:t>
      </w:r>
      <w:r w:rsidR="000D0C6B">
        <w:fldChar w:fldCharType="end"/>
      </w:r>
      <w:r w:rsidR="00581D64">
        <w:t>. Database are most prevalently online, since the internet reaches a maximum audience and optimally allows real-time updates. Numerous website databases, however</w:t>
      </w:r>
      <w:r w:rsidR="000D0C6B">
        <w:t>, have</w:t>
      </w:r>
      <w:r w:rsidR="009A471C">
        <w:t xml:space="preserve"> </w:t>
      </w:r>
      <w:r w:rsidR="00581D64">
        <w:t xml:space="preserve">become neglected as webmasters leave their duties, </w:t>
      </w:r>
      <w:r w:rsidR="00276FC7">
        <w:t xml:space="preserve">and </w:t>
      </w:r>
      <w:r w:rsidR="009A471C">
        <w:t xml:space="preserve">consequently many databases have </w:t>
      </w:r>
      <w:r w:rsidR="000D0C6B">
        <w:t>lost usefulness to contemporary modelers</w:t>
      </w:r>
      <w:r w:rsidR="00276FC7">
        <w:t xml:space="preserve">. </w:t>
      </w:r>
    </w:p>
    <w:p w14:paraId="42BD9AA2" w14:textId="04E0C849" w:rsidR="00B827E7" w:rsidRDefault="00581D64" w:rsidP="00487F5E">
      <w:pPr>
        <w:ind w:firstLine="720"/>
        <w:jc w:val="both"/>
        <w:rPr>
          <w:rFonts w:eastAsiaTheme="minorEastAsia"/>
        </w:rPr>
      </w:pPr>
      <w:r>
        <w:t xml:space="preserve">The TECRDB </w:t>
      </w:r>
      <w:r w:rsidR="0018312A">
        <w:fldChar w:fldCharType="begin" w:fldLock="1"/>
      </w:r>
      <w:r w:rsidR="008B367F">
        <w:instrText xml:space="preserve">ADDIN CSL_CITATION {"citationItems":[{"id":"ITEM-1","itemData":{"DOI":"10.1093/bioinformatics/bth314","ISSN":"13674803","PMID":"15145806","abstract":"Summary: The Thermodynamics of Enzyme-catalyzed Reactions Database (TECRDB) is a comprehensive collection of thermodynamic data on enzyme-catalyzed reactions. The data, which consist of apparent equilibrium constants and calorimetrically determined molar enthalpies of reaction, are the primary experimental results obtained from thermodynamic studies of biochemical reactions. The results from </w:instrText>
      </w:r>
      <w:r w:rsidR="008B367F">
        <w:rPr>
          <w:rFonts w:ascii="Cambria Math" w:hAnsi="Cambria Math" w:cs="Cambria Math"/>
        </w:rPr>
        <w:instrText>∼</w:instrText>
      </w:r>
      <w:r w:rsidR="008B367F">
        <w:instrText xml:space="preserve"> 1000 published papers containing data on </w:instrText>
      </w:r>
      <w:r w:rsidR="008B367F">
        <w:rPr>
          <w:rFonts w:ascii="Cambria Math" w:hAnsi="Cambria Math" w:cs="Cambria Math"/>
        </w:rPr>
        <w:instrText>∼</w:instrText>
      </w:r>
      <w:r w:rsidR="008B367F">
        <w:instrText>400 different enzyme-catalyzed reactions constitute the essential information in the database. The information is managed using Oracle and is available on the Web. © Oxford University Press 2004; all rights reserved.","author":[{"dropping-particle":"","family":"Goldberg","given":"Robert N.","non-dropping-particle":"","parse-names":false,"suffix":""},{"dropping-particle":"","family":"Tewari","given":"Yadu B.","non-dropping-particle":"","parse-names":false,"suffix":""},{"dropping-particle":"","family":"Bhat","given":"Talapady N.","non-dropping-particle":"","parse-names":false,"suffix":""}],"container-title":"Bioinformatics","id":"ITEM-1","issue":"16","issued":{"date-parts":[["2004"]]},"page":"2874-2877","title":"Thermodynamics of enzyme-catalyzed reactions - A database for quantitative biochemistry","type":"article-journal","volume":"20"},"uris":["http://www.mendeley.com/documents/?uuid=8ca983fd-ac81-4a50-8c41-ff903efdd77c"]}],"mendeley":{"formattedCitation":"(Goldberg &lt;i&gt;et al.&lt;/i&gt;, 2004)","plainTextFormattedCitation":"(Goldberg et al., 2004)","previouslyFormattedCitation":"(Goldberg &lt;i&gt;et al.&lt;/i&gt;, 2004)"},"properties":{"noteIndex":0},"schema":"https://github.com/citation-style-language/schema/raw/master/csl-citation.json"}</w:instrText>
      </w:r>
      <w:r w:rsidR="0018312A">
        <w:fldChar w:fldCharType="separate"/>
      </w:r>
      <w:r w:rsidR="0018312A" w:rsidRPr="0018312A">
        <w:rPr>
          <w:noProof/>
        </w:rPr>
        <w:t xml:space="preserve">(Goldberg </w:t>
      </w:r>
      <w:r w:rsidR="0018312A" w:rsidRPr="0018312A">
        <w:rPr>
          <w:i/>
          <w:noProof/>
        </w:rPr>
        <w:t>et al.</w:t>
      </w:r>
      <w:r w:rsidR="0018312A" w:rsidRPr="0018312A">
        <w:rPr>
          <w:noProof/>
        </w:rPr>
        <w:t>, 2004)</w:t>
      </w:r>
      <w:r w:rsidR="0018312A">
        <w:fldChar w:fldCharType="end"/>
      </w:r>
      <w:r>
        <w:t xml:space="preserve"> is such a database. The TECRDB </w:t>
      </w:r>
      <w:r w:rsidR="00B827E7">
        <w:t>impressively amalgamates</w:t>
      </w:r>
      <w:r w:rsidR="00B827E7" w:rsidRPr="00B827E7">
        <w:rPr>
          <w:rFonts w:eastAsiaTheme="minorEastAsia"/>
        </w:rPr>
        <w:t xml:space="preserve"> </w:t>
      </w:r>
      <m:oMath>
        <m:r>
          <w:rPr>
            <w:rFonts w:ascii="Cambria Math" w:eastAsiaTheme="minorEastAsia" w:hAnsi="Cambria Math"/>
          </w:rPr>
          <m:t>~15 years</m:t>
        </m:r>
      </m:oMath>
      <w:r w:rsidR="00B827E7">
        <w:rPr>
          <w:rFonts w:eastAsiaTheme="minorEastAsia"/>
        </w:rPr>
        <w:t xml:space="preserve"> of </w:t>
      </w:r>
      <w:r w:rsidR="00B827E7">
        <w:rPr>
          <w:rFonts w:eastAsiaTheme="minorEastAsia"/>
        </w:rPr>
        <w:t xml:space="preserve">literature review and database assemblage to create a singular source of biochemical data for </w:t>
      </w:r>
      <w:r w:rsidR="00FA101B">
        <w:rPr>
          <w:rFonts w:eastAsiaTheme="minorEastAsia"/>
        </w:rPr>
        <w:t>417</w:t>
      </w:r>
      <w:r w:rsidR="00B827E7">
        <w:rPr>
          <w:rFonts w:eastAsiaTheme="minorEastAsia"/>
        </w:rPr>
        <w:t xml:space="preserve"> </w:t>
      </w:r>
      <w:r w:rsidR="00B827E7">
        <w:rPr>
          <w:rFonts w:eastAsiaTheme="minorEastAsia"/>
        </w:rPr>
        <w:t>enzymatic reaction</w:t>
      </w:r>
      <w:r w:rsidR="00B827E7">
        <w:rPr>
          <w:rFonts w:eastAsiaTheme="minorEastAsia"/>
        </w:rPr>
        <w:t>s</w:t>
      </w:r>
      <w:r w:rsidR="00B827E7">
        <w:rPr>
          <w:rFonts w:eastAsiaTheme="minorEastAsia"/>
        </w:rPr>
        <w:t xml:space="preserve">. </w:t>
      </w:r>
      <w:r w:rsidR="00B827E7">
        <w:rPr>
          <w:rFonts w:eastAsiaTheme="minorEastAsia"/>
        </w:rPr>
        <w:t>The database website, however, has lost critical features that were detailed in the original publication.</w:t>
      </w:r>
      <w:r w:rsidR="00B827E7">
        <w:rPr>
          <w:rFonts w:eastAsiaTheme="minorEastAsia"/>
        </w:rPr>
        <w:t xml:space="preserve"> </w:t>
      </w:r>
      <w:r w:rsidR="00B827E7">
        <w:rPr>
          <w:rFonts w:eastAsiaTheme="minorEastAsia"/>
        </w:rPr>
        <w:t>The website, for example, has disabled the download function, which renders the data practically non-existent for biological modelers who are unlikely to manually transcribe the data. The website has further lost the cited b</w:t>
      </w:r>
      <w:r w:rsidR="00B827E7">
        <w:rPr>
          <w:rFonts w:eastAsiaTheme="minorEastAsia"/>
        </w:rPr>
        <w:t xml:space="preserve">ackground </w:t>
      </w:r>
      <w:r w:rsidR="00B827E7">
        <w:rPr>
          <w:rFonts w:eastAsiaTheme="minorEastAsia"/>
        </w:rPr>
        <w:t>description of the database, which may allow researchers to understand the data and the associated methods that were used to acquire and\or approximate the data</w:t>
      </w:r>
      <w:r w:rsidR="00B827E7">
        <w:rPr>
          <w:rFonts w:eastAsiaTheme="minorEastAsia"/>
        </w:rPr>
        <w:t>.</w:t>
      </w:r>
      <w:r w:rsidR="00487F5E">
        <w:rPr>
          <w:rFonts w:eastAsiaTheme="minorEastAsia"/>
        </w:rPr>
        <w:t xml:space="preserve"> The</w:t>
      </w:r>
      <w:r w:rsidR="00B827E7">
        <w:rPr>
          <w:rFonts w:eastAsiaTheme="minorEastAsia"/>
        </w:rPr>
        <w:t xml:space="preserve"> </w:t>
      </w:r>
      <w:r w:rsidR="00487F5E">
        <w:rPr>
          <w:rFonts w:eastAsiaTheme="minorEastAsia"/>
        </w:rPr>
        <w:t xml:space="preserve">symbol key for the sub- and super-scripts, which must </w:t>
      </w:r>
      <w:r w:rsidR="00B827E7">
        <w:rPr>
          <w:rFonts w:eastAsiaTheme="minorEastAsia"/>
        </w:rPr>
        <w:t>adhere to IUPAC and IUBMB standards</w:t>
      </w:r>
      <w:r w:rsidR="00487F5E">
        <w:rPr>
          <w:rFonts w:eastAsiaTheme="minorEastAsia"/>
        </w:rPr>
        <w:t>, are also absent from the database</w:t>
      </w:r>
      <w:r w:rsidR="00B827E7">
        <w:rPr>
          <w:rFonts w:eastAsiaTheme="minorEastAsia"/>
        </w:rPr>
        <w:t>.</w:t>
      </w:r>
      <w:r w:rsidR="00487F5E">
        <w:rPr>
          <w:rFonts w:eastAsiaTheme="minorEastAsia"/>
        </w:rPr>
        <w:t xml:space="preserve"> The </w:t>
      </w:r>
      <w:r w:rsidR="00487F5E">
        <w:rPr>
          <w:rFonts w:eastAsiaTheme="minorEastAsia"/>
        </w:rPr>
        <w:t>querying</w:t>
      </w:r>
      <w:r w:rsidR="00487F5E">
        <w:rPr>
          <w:rFonts w:eastAsiaTheme="minorEastAsia"/>
        </w:rPr>
        <w:t xml:space="preserve"> methods are </w:t>
      </w:r>
      <w:r w:rsidR="00FA101B">
        <w:rPr>
          <w:rFonts w:eastAsiaTheme="minorEastAsia"/>
        </w:rPr>
        <w:t xml:space="preserve">moreover </w:t>
      </w:r>
      <w:r w:rsidR="00487F5E">
        <w:rPr>
          <w:rFonts w:eastAsiaTheme="minorEastAsia"/>
        </w:rPr>
        <w:t>dissimilar from the published methods,</w:t>
      </w:r>
      <w:r w:rsidR="00B827E7">
        <w:rPr>
          <w:rFonts w:eastAsiaTheme="minorEastAsia"/>
        </w:rPr>
        <w:t xml:space="preserve"> </w:t>
      </w:r>
      <w:r w:rsidR="00487F5E">
        <w:rPr>
          <w:rFonts w:eastAsiaTheme="minorEastAsia"/>
        </w:rPr>
        <w:t>where the current methods are rudimentary</w:t>
      </w:r>
      <w:r w:rsidR="00B827E7">
        <w:rPr>
          <w:rFonts w:eastAsiaTheme="minorEastAsia"/>
        </w:rPr>
        <w:t xml:space="preserve">. </w:t>
      </w:r>
      <w:r w:rsidR="00FA101B">
        <w:rPr>
          <w:rFonts w:eastAsiaTheme="minorEastAsia"/>
        </w:rPr>
        <w:t>The database furthermore contained 25 broken pages, where the thermodynamic data tables were unpresented.</w:t>
      </w:r>
    </w:p>
    <w:p w14:paraId="0FDA55F7" w14:textId="377832BF" w:rsidR="00066238" w:rsidRPr="00066238" w:rsidRDefault="009A471C" w:rsidP="00E565E9">
      <w:pPr>
        <w:ind w:firstLine="720"/>
        <w:jc w:val="both"/>
        <w:rPr>
          <w:b/>
        </w:rPr>
      </w:pPr>
      <w:r>
        <w:t xml:space="preserve">We </w:t>
      </w:r>
      <w:r w:rsidR="00487F5E">
        <w:t xml:space="preserve">recognized the neglected yet </w:t>
      </w:r>
      <w:r w:rsidR="00487F5E">
        <w:t xml:space="preserve">valuable </w:t>
      </w:r>
      <w:r w:rsidR="00487F5E">
        <w:t xml:space="preserve">data of the TECRDB and elected to refresh the data. </w:t>
      </w:r>
      <w:r w:rsidR="00E565E9">
        <w:t xml:space="preserve">This work both reintroduces an important thermodynamics resource to the systems biology community and may ideally inspire </w:t>
      </w:r>
      <w:proofErr w:type="spellStart"/>
      <w:r w:rsidR="00E565E9">
        <w:t>bioinformatitians</w:t>
      </w:r>
      <w:proofErr w:type="spellEnd"/>
      <w:r w:rsidR="00E565E9">
        <w:t xml:space="preserve"> to consider </w:t>
      </w:r>
      <w:r w:rsidR="00E565E9">
        <w:t xml:space="preserve">salvaging neglected </w:t>
      </w:r>
      <w:r w:rsidR="00E565E9">
        <w:t xml:space="preserve">thermodynamic datasets </w:t>
      </w:r>
      <w:r w:rsidR="00E565E9">
        <w:t>and contributing the data to a standard resource for</w:t>
      </w:r>
      <w:r w:rsidR="00E565E9">
        <w:t xml:space="preserve"> the community </w:t>
      </w:r>
      <w:r w:rsidR="00E565E9">
        <w:fldChar w:fldCharType="begin" w:fldLock="1"/>
      </w:r>
      <w:r w:rsidR="00E565E9">
        <w:instrText>ADDIN CSL_CITATION {"citationItems":[{"id":"ITEM-1","itemData":{"DOI":"10.1080/10691898.2020.1787116","ISSN":"10691898","abstract":"Best practices in statistics and data science courses include the use of real and relevant data as well as teaching the entire data science cycle starting with importing data. A rich source of real and current data is the web, where data are often presented and stored in a structure that needs some wrangling and transforming before they can be ready for analysis. The web is a resource students naturally turn to for finding data for data analysis projects, but without formal instruction on how to get that data into a structured format, they often resort to copy-pasting or manual entry into a spreadsheet, which are both time consuming and error-prone. Teaching web scraping provides an opportunity to bring such data into the curriculum in an effective and efficient way. In this article, we explain how web scraping works and how it can be implemented in a pedagogically sound and technically executable way at various levels of statistics and data science curricula. We provide classroom activities where we connect this modern computing technique with traditional statistical topics. Finally, we share the opportunities web scraping brings to the classrooms as well as the challenges to instructors and tips for avoiding them.","author":[{"dropping-particle":"","family":"Dogucu","given":"Mine","non-dropping-particle":"","parse-names":false,"suffix":""},{"dropping-particle":"","family":"Çetinkaya-Rundel","given":"Mine","non-dropping-particle":"","parse-names":false,"suffix":""}],"container-title":"Journal of Statistics Education","id":"ITEM-1","issued":{"date-parts":[["2020"]]},"title":"Web Scraping in the Statistics and Data Science Curriculum: Challenges and Opportunities","type":"article-journal"},"uris":["http://www.mendeley.com/documents/?uuid=417fc9ef-f6a9-436d-8466-558d4b4a5c90"]}],"mendeley":{"formattedCitation":"(Dogucu and Çetinkaya-Rundel, 2020)","plainTextFormattedCitation":"(Dogucu and Çetinkaya-Rundel, 2020)","previouslyFormattedCitation":"(Dogucu and Çetinkaya-Rundel, 2020)"},"properties":{"noteIndex":0},"schema":"https://github.com/citation-style-language/schema/raw/master/csl-citation.json"}</w:instrText>
      </w:r>
      <w:r w:rsidR="00E565E9">
        <w:fldChar w:fldCharType="separate"/>
      </w:r>
      <w:r w:rsidR="00E565E9" w:rsidRPr="00753FE0">
        <w:rPr>
          <w:noProof/>
        </w:rPr>
        <w:t>(Dogucu and Çetinkaya-Rundel, 2020)</w:t>
      </w:r>
      <w:r w:rsidR="00E565E9">
        <w:fldChar w:fldCharType="end"/>
      </w:r>
      <w:r w:rsidR="00E565E9">
        <w:t xml:space="preserve">. </w:t>
      </w:r>
      <w:r w:rsidR="00487F5E">
        <w:t>We used myriad Python scripts, which are published in our GitHub repository (</w:t>
      </w:r>
      <w:hyperlink r:id="rId7" w:history="1">
        <w:r w:rsidR="00487F5E" w:rsidRPr="00E309D1">
          <w:rPr>
            <w:rStyle w:val="Hyperlink"/>
          </w:rPr>
          <w:t>https://github.com/freiburgermsu/Biochemical-databases</w:t>
        </w:r>
      </w:hyperlink>
      <w:r w:rsidR="00487F5E">
        <w:t xml:space="preserve">), to web scrape, parse, organize and reformat, and then contribute </w:t>
      </w:r>
      <w:r w:rsidR="00E565E9">
        <w:t xml:space="preserve">the TECRDB data </w:t>
      </w:r>
      <w:r w:rsidR="00487F5E">
        <w:t>to the ModelSEE</w:t>
      </w:r>
      <w:r w:rsidR="00E565E9">
        <w:t>D database</w:t>
      </w:r>
      <w:r w:rsidR="00F21407">
        <w:t>, which is an actively curated database of biochemical reactions</w:t>
      </w:r>
      <w:r w:rsidR="00AF6D35">
        <w:t xml:space="preserve">. </w:t>
      </w:r>
    </w:p>
    <w:p w14:paraId="3755445D" w14:textId="1C4C8D56" w:rsidR="00D84C1D" w:rsidRPr="0056121A" w:rsidRDefault="005A4420" w:rsidP="0056121A">
      <w:pPr>
        <w:ind w:firstLine="720"/>
        <w:jc w:val="both"/>
      </w:pPr>
      <w:r>
        <w:t xml:space="preserve">The </w:t>
      </w:r>
      <w:r w:rsidR="00FA101B">
        <w:t xml:space="preserve">TECRDB was first web scraped through the </w:t>
      </w:r>
      <w:proofErr w:type="spellStart"/>
      <w:r w:rsidR="00FA101B">
        <w:t>BeautifulSoup</w:t>
      </w:r>
      <w:proofErr w:type="spellEnd"/>
      <w:r w:rsidR="00FA101B">
        <w:t xml:space="preserve"> library of Python.</w:t>
      </w:r>
      <w:r w:rsidR="003851F3">
        <w:t xml:space="preserve"> </w:t>
      </w:r>
      <w:r w:rsidR="00FA101B">
        <w:t>Script iteratively searched the URLs for each functioning database page through the Requests module</w:t>
      </w:r>
      <w:r w:rsidR="0056121A">
        <w:t>. The web</w:t>
      </w:r>
      <w:r w:rsidR="00FA101B">
        <w:t xml:space="preserve">pages were subsequently </w:t>
      </w:r>
      <w:r w:rsidR="00FA101B">
        <w:t xml:space="preserve">parsed </w:t>
      </w:r>
      <w:r w:rsidR="00FA101B">
        <w:t xml:space="preserve">the table elements through the </w:t>
      </w:r>
      <w:r w:rsidR="00A616E7">
        <w:rPr>
          <w:rFonts w:ascii="Complex" w:eastAsia="Complex" w:hAnsi="Complex" w:cs="Complex"/>
          <w:sz w:val="20"/>
          <w:szCs w:val="20"/>
        </w:rPr>
        <w:t>&lt;</w:t>
      </w:r>
      <w:proofErr w:type="spellStart"/>
      <w:r w:rsidR="00A616E7">
        <w:rPr>
          <w:rFonts w:ascii="Complex" w:eastAsia="Complex" w:hAnsi="Complex" w:cs="Complex"/>
          <w:sz w:val="20"/>
          <w:szCs w:val="20"/>
        </w:rPr>
        <w:t>tr</w:t>
      </w:r>
      <w:proofErr w:type="spellEnd"/>
      <w:r w:rsidR="00A616E7">
        <w:rPr>
          <w:rFonts w:ascii="Complex" w:eastAsia="Complex" w:hAnsi="Complex" w:cs="Complex"/>
          <w:sz w:val="20"/>
          <w:szCs w:val="20"/>
        </w:rPr>
        <w:t>&gt;</w:t>
      </w:r>
      <w:r w:rsidR="00A616E7">
        <w:rPr>
          <w:sz w:val="20"/>
          <w:szCs w:val="20"/>
        </w:rPr>
        <w:t xml:space="preserve"> </w:t>
      </w:r>
      <w:r w:rsidR="00A616E7">
        <w:t xml:space="preserve">and </w:t>
      </w:r>
      <w:r w:rsidR="00A616E7">
        <w:rPr>
          <w:rFonts w:ascii="Complex" w:eastAsia="Complex" w:hAnsi="Complex" w:cs="Complex"/>
          <w:sz w:val="20"/>
          <w:szCs w:val="20"/>
        </w:rPr>
        <w:t>&lt;</w:t>
      </w:r>
      <w:proofErr w:type="spellStart"/>
      <w:r w:rsidR="00A616E7">
        <w:rPr>
          <w:rFonts w:ascii="Complex" w:eastAsia="Complex" w:hAnsi="Complex" w:cs="Complex"/>
          <w:sz w:val="20"/>
          <w:szCs w:val="20"/>
        </w:rPr>
        <w:t>th</w:t>
      </w:r>
      <w:proofErr w:type="spellEnd"/>
      <w:r w:rsidR="00A616E7">
        <w:rPr>
          <w:rFonts w:ascii="Complex" w:eastAsia="Complex" w:hAnsi="Complex" w:cs="Complex"/>
          <w:sz w:val="20"/>
          <w:szCs w:val="20"/>
        </w:rPr>
        <w:t>&gt;</w:t>
      </w:r>
      <w:r w:rsidR="00A616E7">
        <w:rPr>
          <w:sz w:val="20"/>
          <w:szCs w:val="20"/>
        </w:rPr>
        <w:t xml:space="preserve"> </w:t>
      </w:r>
      <w:r w:rsidR="00FA101B">
        <w:rPr>
          <w:sz w:val="20"/>
          <w:szCs w:val="20"/>
        </w:rPr>
        <w:t xml:space="preserve">HTML </w:t>
      </w:r>
      <w:r w:rsidR="00A616E7">
        <w:t>tags</w:t>
      </w:r>
      <w:r w:rsidR="00FA101B">
        <w:t xml:space="preserve"> via the </w:t>
      </w:r>
      <w:proofErr w:type="spellStart"/>
      <w:r w:rsidR="00FA101B">
        <w:t>BeautifulSoup</w:t>
      </w:r>
      <w:proofErr w:type="spellEnd"/>
      <w:r w:rsidR="00FA101B">
        <w:t xml:space="preserve"> LXML interpreter, and the </w:t>
      </w:r>
      <w:r w:rsidR="00A616E7">
        <w:t xml:space="preserve">acquired data </w:t>
      </w:r>
      <w:r w:rsidR="00FA101B">
        <w:t xml:space="preserve">was cleaned of </w:t>
      </w:r>
      <w:r w:rsidR="00A616E7">
        <w:t xml:space="preserve">spaces and non-ASCII characters </w:t>
      </w:r>
      <w:r w:rsidR="00A616E7">
        <w:fldChar w:fldCharType="begin" w:fldLock="1"/>
      </w:r>
      <w:r w:rsidR="00A616E7">
        <w:instrText>ADDIN CSL_CITATION {"citationItems":[{"id":"ITEM-1","itemData":{"DOI":"10.1111/jbl.12120","ISSN":"21581592","abstract":"There is a growing interest in leveraging alternate sources of empirical data, with an increasing emphasis being placed on the Internet. This paper serves as a primer for supply chain management (SCM) researchers that may be interested in leveraging Internet-based sources for their own research, but perhaps not familiar with how to begin. Here, definitions and concepts critical to successful implementation in practice are provided. In addition, concrete, discipline-relevant examples accompany the discussion, and are aided by a fully detailed online code supplement. Performance enhancements are discussed, as well as associated caveats and limitations. Additionally, insights and guidance are offered on the unique responsibilities for researchers to uphold the ethical spirit of scientific research when continuing along these paths. Pragmatic issues related to the application of these techniques are presented for consideration of individual researchers and the SCM community as a whole.","author":[{"dropping-particle":"","family":"Massimino","given":"Brett","non-dropping-particle":"","parse-names":false,"suffix":""}],"container-title":"Journal of Business Logistics","id":"ITEM-1","issue":"1","issued":{"date-parts":[["2016"]]},"page":"34-42","title":"Accessing Online Data: Web-Crawling and Information-Scraping Techniques to Automate the Assembly of Research Data","type":"article-journal","volume":"37"},"uris":["http://www.mendeley.com/documents/?uuid=86e86b44-7e7c-4f7f-b62c-b59555f73176"]}],"mendeley":{"formattedCitation":"(Massimino, 2016)","plainTextFormattedCitation":"(Massimino, 2016)","previouslyFormattedCitation":"(Massimino, 2016)"},"properties":{"noteIndex":0},"schema":"https://github.com/citation-style-language/schema/raw/master/csl-citation.json"}</w:instrText>
      </w:r>
      <w:r w:rsidR="00A616E7">
        <w:fldChar w:fldCharType="separate"/>
      </w:r>
      <w:r w:rsidR="00A616E7" w:rsidRPr="00753FE0">
        <w:rPr>
          <w:noProof/>
        </w:rPr>
        <w:t>(Massimino, 2016)</w:t>
      </w:r>
      <w:r w:rsidR="00A616E7">
        <w:fldChar w:fldCharType="end"/>
      </w:r>
      <w:r w:rsidR="00A616E7">
        <w:t>.</w:t>
      </w:r>
      <w:r w:rsidR="00FA101B">
        <w:t xml:space="preserve"> </w:t>
      </w:r>
      <w:r w:rsidR="00D84C1D">
        <w:rPr>
          <w:bCs/>
        </w:rPr>
        <w:t xml:space="preserve">The </w:t>
      </w:r>
      <w:r w:rsidR="0056121A">
        <w:rPr>
          <w:bCs/>
        </w:rPr>
        <w:t>data from scraping each webpage were compiled into a single table, where columns of similar data like equilibrium constants were all combined</w:t>
      </w:r>
      <w:r w:rsidR="003D7BB7">
        <w:rPr>
          <w:bCs/>
        </w:rPr>
        <w:t xml:space="preserve">. </w:t>
      </w:r>
    </w:p>
    <w:p w14:paraId="351DA2AD" w14:textId="5C755D0D" w:rsidR="003D7BB7" w:rsidRDefault="003D7BB7" w:rsidP="003D7BB7">
      <w:pPr>
        <w:ind w:firstLine="720"/>
        <w:jc w:val="both"/>
      </w:pPr>
      <w:bookmarkStart w:id="2" w:name="_Toc59745062"/>
      <w:r>
        <w:t xml:space="preserve">The organized TECRDB data was organized and reformatted via </w:t>
      </w:r>
      <w:r>
        <w:t xml:space="preserve">the Pandas </w:t>
      </w:r>
      <w:r>
        <w:t xml:space="preserve">and JSON </w:t>
      </w:r>
      <w:r>
        <w:t>module</w:t>
      </w:r>
      <w:r>
        <w:t xml:space="preserve">s. The format that is required for ModelSEED contributions was imposed upon every reaction, which required that every compound be identified in the ModelSEED database. </w:t>
      </w:r>
      <w:r w:rsidR="00D75996">
        <w:t xml:space="preserve">The TECRDB reactions were first matched with ModelSEED reactions by matching the chemical equation, where each involved compound in the TECRDB was assigned a </w:t>
      </w:r>
      <w:r w:rsidR="00D75996">
        <w:t>ModelSEED</w:t>
      </w:r>
      <w:r w:rsidR="00D75996">
        <w:t xml:space="preserve"> ID. The compounds were matched principally by name, although, the myriad common and IUPAC synonyms for every chemical species prevented a broad success with matching solely by the chemical name; thus, the unmatched compounds were identified through a manual investigation of the unmatched compounds in the ModelSEED database. The reactions that failed to matched through the chemical equation per se, which included instances where the </w:t>
      </w:r>
      <w:r w:rsidR="00140971">
        <w:t xml:space="preserve">constituent </w:t>
      </w:r>
      <w:r w:rsidR="00D75996">
        <w:t xml:space="preserve">compounds were </w:t>
      </w:r>
      <w:r w:rsidR="00140971">
        <w:t>unidentified in the</w:t>
      </w:r>
      <w:r w:rsidR="00D75996">
        <w:t xml:space="preserve"> </w:t>
      </w:r>
      <w:r w:rsidR="00140971">
        <w:t xml:space="preserve">ModelSEED database, </w:t>
      </w:r>
      <w:r w:rsidR="00D75996">
        <w:t>were match through the KEGG ID</w:t>
      </w:r>
      <w:r w:rsidR="00140971">
        <w:t>s</w:t>
      </w:r>
      <w:r w:rsidR="00D75996">
        <w:t xml:space="preserve"> that the TECRDB </w:t>
      </w:r>
      <w:r w:rsidR="00140971">
        <w:t xml:space="preserve">ascribed </w:t>
      </w:r>
      <w:r w:rsidR="00D75996">
        <w:t xml:space="preserve">to every </w:t>
      </w:r>
      <w:r w:rsidR="00140971">
        <w:t xml:space="preserve">one of its </w:t>
      </w:r>
      <w:r w:rsidR="00D75996">
        <w:t>reaction</w:t>
      </w:r>
      <w:r w:rsidR="00140971">
        <w:t>s</w:t>
      </w:r>
      <w:r w:rsidR="00D75996">
        <w:t xml:space="preserve">. </w:t>
      </w:r>
    </w:p>
    <w:p w14:paraId="557EED10" w14:textId="49C6F199" w:rsidR="00862FDF" w:rsidRDefault="008E525C" w:rsidP="008E525C">
      <w:pPr>
        <w:ind w:firstLine="720"/>
        <w:jc w:val="both"/>
      </w:pPr>
      <w:r>
        <w:lastRenderedPageBreak/>
        <w:t>The ag</w:t>
      </w:r>
      <w:r w:rsidR="00862FDF">
        <w:t xml:space="preserve">ing internet </w:t>
      </w:r>
      <w:r w:rsidR="0011353B">
        <w:t xml:space="preserve">and web-based databases </w:t>
      </w:r>
      <w:r w:rsidR="00862FDF">
        <w:t>will increasingly require</w:t>
      </w:r>
      <w:r>
        <w:t xml:space="preserve"> intervention to salvage data.</w:t>
      </w:r>
      <w:r w:rsidR="00862FDF">
        <w:t xml:space="preserve"> </w:t>
      </w:r>
      <w:proofErr w:type="spellStart"/>
      <w:r>
        <w:t>B</w:t>
      </w:r>
      <w:r w:rsidR="00AC041E">
        <w:t>ioinformatitians</w:t>
      </w:r>
      <w:proofErr w:type="spellEnd"/>
      <w:r w:rsidR="00AC041E">
        <w:t xml:space="preserve"> </w:t>
      </w:r>
      <w:r w:rsidR="00862FDF">
        <w:t xml:space="preserve">must resist the Bystander Effect </w:t>
      </w:r>
      <w:r w:rsidR="00AC041E">
        <w:t xml:space="preserve">and </w:t>
      </w:r>
      <w:r>
        <w:t xml:space="preserve">proactively </w:t>
      </w:r>
      <w:r w:rsidR="00AC041E">
        <w:t xml:space="preserve">rejuvenate </w:t>
      </w:r>
      <w:r w:rsidR="0011353B">
        <w:t xml:space="preserve">old </w:t>
      </w:r>
      <w:r w:rsidR="00862FDF">
        <w:t>databases</w:t>
      </w:r>
      <w:r w:rsidR="00AC041E">
        <w:t xml:space="preserve"> </w:t>
      </w:r>
      <w:r>
        <w:t xml:space="preserve">by contributing the data </w:t>
      </w:r>
      <w:r w:rsidR="00AC041E">
        <w:t xml:space="preserve">into </w:t>
      </w:r>
      <w:r>
        <w:t>centralized and curated database like ModelSE</w:t>
      </w:r>
      <w:bookmarkStart w:id="3" w:name="_GoBack"/>
      <w:bookmarkEnd w:id="3"/>
      <w:r>
        <w:t>ED, which will be an invaluable resource for biological modelers</w:t>
      </w:r>
      <w:r w:rsidR="00956AB0">
        <w:t>.</w:t>
      </w:r>
      <w:r>
        <w:t xml:space="preserve"> The </w:t>
      </w:r>
      <w:r w:rsidR="0054717A">
        <w:t xml:space="preserve">ModelSEED </w:t>
      </w:r>
      <w:r>
        <w:t xml:space="preserve">database is eager to receive community contributions of data, for which a step-wise diagram is provided in our GitHub repository. </w:t>
      </w:r>
    </w:p>
    <w:p w14:paraId="368DD489" w14:textId="77777777" w:rsidR="00324D84" w:rsidRPr="00324D84" w:rsidRDefault="00324D84" w:rsidP="00324D84">
      <w:pPr>
        <w:pStyle w:val="Heading1"/>
        <w:rPr>
          <w:b/>
        </w:rPr>
      </w:pPr>
      <w:r>
        <w:rPr>
          <w:b/>
        </w:rPr>
        <w:t>References</w:t>
      </w:r>
      <w:bookmarkEnd w:id="2"/>
    </w:p>
    <w:p w14:paraId="6DB0690F" w14:textId="08035EBF" w:rsidR="008B367F" w:rsidRPr="008B367F" w:rsidRDefault="008739EF" w:rsidP="008B367F">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008B367F" w:rsidRPr="008B367F">
        <w:rPr>
          <w:noProof/>
          <w:szCs w:val="24"/>
        </w:rPr>
        <w:t xml:space="preserve">Arakawa,K. </w:t>
      </w:r>
      <w:r w:rsidR="008B367F" w:rsidRPr="008B367F">
        <w:rPr>
          <w:i/>
          <w:iCs/>
          <w:noProof/>
          <w:szCs w:val="24"/>
        </w:rPr>
        <w:t>et al.</w:t>
      </w:r>
      <w:r w:rsidR="008B367F" w:rsidRPr="008B367F">
        <w:rPr>
          <w:noProof/>
          <w:szCs w:val="24"/>
        </w:rPr>
        <w:t xml:space="preserve"> (2003) G-language genome analysis environment: A workbench for nucleotide sequence data mining. </w:t>
      </w:r>
      <w:r w:rsidR="008B367F" w:rsidRPr="008B367F">
        <w:rPr>
          <w:i/>
          <w:iCs/>
          <w:noProof/>
          <w:szCs w:val="24"/>
        </w:rPr>
        <w:t>Bioinformatics</w:t>
      </w:r>
      <w:r w:rsidR="008B367F" w:rsidRPr="008B367F">
        <w:rPr>
          <w:noProof/>
          <w:szCs w:val="24"/>
        </w:rPr>
        <w:t xml:space="preserve">, </w:t>
      </w:r>
      <w:r w:rsidR="008B367F" w:rsidRPr="008B367F">
        <w:rPr>
          <w:b/>
          <w:bCs/>
          <w:noProof/>
          <w:szCs w:val="24"/>
        </w:rPr>
        <w:t>19</w:t>
      </w:r>
      <w:r w:rsidR="008B367F" w:rsidRPr="008B367F">
        <w:rPr>
          <w:noProof/>
          <w:szCs w:val="24"/>
        </w:rPr>
        <w:t>, 305–306.</w:t>
      </w:r>
    </w:p>
    <w:p w14:paraId="23BB60E8" w14:textId="77777777" w:rsidR="008B367F" w:rsidRPr="008B367F" w:rsidRDefault="008B367F" w:rsidP="008B367F">
      <w:pPr>
        <w:widowControl w:val="0"/>
        <w:autoSpaceDE w:val="0"/>
        <w:autoSpaceDN w:val="0"/>
        <w:adjustRightInd w:val="0"/>
        <w:spacing w:line="240" w:lineRule="auto"/>
        <w:ind w:left="480" w:hanging="480"/>
        <w:rPr>
          <w:noProof/>
          <w:szCs w:val="24"/>
        </w:rPr>
      </w:pPr>
      <w:r w:rsidRPr="008B367F">
        <w:rPr>
          <w:noProof/>
          <w:szCs w:val="24"/>
        </w:rPr>
        <w:t xml:space="preserve">Bhat,N.G. and Balaji,S. (2020) Whole-Cell Modeling and Simulation: A Brief Survey. </w:t>
      </w:r>
      <w:r w:rsidRPr="008B367F">
        <w:rPr>
          <w:i/>
          <w:iCs/>
          <w:noProof/>
          <w:szCs w:val="24"/>
        </w:rPr>
        <w:t>New Gener. Comput.</w:t>
      </w:r>
      <w:r w:rsidRPr="008B367F">
        <w:rPr>
          <w:noProof/>
          <w:szCs w:val="24"/>
        </w:rPr>
        <w:t xml:space="preserve">, </w:t>
      </w:r>
      <w:r w:rsidRPr="008B367F">
        <w:rPr>
          <w:b/>
          <w:bCs/>
          <w:noProof/>
          <w:szCs w:val="24"/>
        </w:rPr>
        <w:t>38</w:t>
      </w:r>
      <w:r w:rsidRPr="008B367F">
        <w:rPr>
          <w:noProof/>
          <w:szCs w:val="24"/>
        </w:rPr>
        <w:t>, 259–281.</w:t>
      </w:r>
    </w:p>
    <w:p w14:paraId="668172E1" w14:textId="77777777" w:rsidR="008B367F" w:rsidRPr="008B367F" w:rsidRDefault="008B367F" w:rsidP="008B367F">
      <w:pPr>
        <w:widowControl w:val="0"/>
        <w:autoSpaceDE w:val="0"/>
        <w:autoSpaceDN w:val="0"/>
        <w:adjustRightInd w:val="0"/>
        <w:spacing w:line="240" w:lineRule="auto"/>
        <w:ind w:left="480" w:hanging="480"/>
        <w:rPr>
          <w:noProof/>
          <w:szCs w:val="24"/>
        </w:rPr>
      </w:pPr>
      <w:r w:rsidRPr="008B367F">
        <w:rPr>
          <w:noProof/>
          <w:szCs w:val="24"/>
        </w:rPr>
        <w:t xml:space="preserve">Dogucu,M. and Çetinkaya-Rundel,M. (2020) Web Scraping in the Statistics and Data Science Curriculum: Challenges and Opportunities. </w:t>
      </w:r>
      <w:r w:rsidRPr="008B367F">
        <w:rPr>
          <w:i/>
          <w:iCs/>
          <w:noProof/>
          <w:szCs w:val="24"/>
        </w:rPr>
        <w:t>J. Stat. Educ.</w:t>
      </w:r>
    </w:p>
    <w:p w14:paraId="0F211056" w14:textId="77777777" w:rsidR="008B367F" w:rsidRPr="008B367F" w:rsidRDefault="008B367F" w:rsidP="008B367F">
      <w:pPr>
        <w:widowControl w:val="0"/>
        <w:autoSpaceDE w:val="0"/>
        <w:autoSpaceDN w:val="0"/>
        <w:adjustRightInd w:val="0"/>
        <w:spacing w:line="240" w:lineRule="auto"/>
        <w:ind w:left="480" w:hanging="480"/>
        <w:rPr>
          <w:noProof/>
          <w:szCs w:val="24"/>
        </w:rPr>
      </w:pPr>
      <w:r w:rsidRPr="008B367F">
        <w:rPr>
          <w:noProof/>
          <w:szCs w:val="24"/>
        </w:rPr>
        <w:t xml:space="preserve">Goldberg,R.N. </w:t>
      </w:r>
      <w:r w:rsidRPr="008B367F">
        <w:rPr>
          <w:i/>
          <w:iCs/>
          <w:noProof/>
          <w:szCs w:val="24"/>
        </w:rPr>
        <w:t>et al.</w:t>
      </w:r>
      <w:r w:rsidRPr="008B367F">
        <w:rPr>
          <w:noProof/>
          <w:szCs w:val="24"/>
        </w:rPr>
        <w:t xml:space="preserve"> (2004) Thermodynamics of enzyme-catalyzed reactions - A database for quantitative biochemistry. </w:t>
      </w:r>
      <w:r w:rsidRPr="008B367F">
        <w:rPr>
          <w:i/>
          <w:iCs/>
          <w:noProof/>
          <w:szCs w:val="24"/>
        </w:rPr>
        <w:t>Bioinformatics</w:t>
      </w:r>
      <w:r w:rsidRPr="008B367F">
        <w:rPr>
          <w:noProof/>
          <w:szCs w:val="24"/>
        </w:rPr>
        <w:t xml:space="preserve">, </w:t>
      </w:r>
      <w:r w:rsidRPr="008B367F">
        <w:rPr>
          <w:b/>
          <w:bCs/>
          <w:noProof/>
          <w:szCs w:val="24"/>
        </w:rPr>
        <w:t>20</w:t>
      </w:r>
      <w:r w:rsidRPr="008B367F">
        <w:rPr>
          <w:noProof/>
          <w:szCs w:val="24"/>
        </w:rPr>
        <w:t>, 2874–2877.</w:t>
      </w:r>
    </w:p>
    <w:p w14:paraId="027C6A9E" w14:textId="77777777" w:rsidR="008B367F" w:rsidRPr="008B367F" w:rsidRDefault="008B367F" w:rsidP="008B367F">
      <w:pPr>
        <w:widowControl w:val="0"/>
        <w:autoSpaceDE w:val="0"/>
        <w:autoSpaceDN w:val="0"/>
        <w:adjustRightInd w:val="0"/>
        <w:spacing w:line="240" w:lineRule="auto"/>
        <w:ind w:left="480" w:hanging="480"/>
        <w:rPr>
          <w:noProof/>
          <w:szCs w:val="24"/>
        </w:rPr>
      </w:pPr>
      <w:r w:rsidRPr="008B367F">
        <w:rPr>
          <w:noProof/>
          <w:szCs w:val="24"/>
        </w:rPr>
        <w:t>Karr,J. and Goldberg,A. (2020) An introduction to whole-cell modeling.</w:t>
      </w:r>
    </w:p>
    <w:p w14:paraId="7A12EBCA" w14:textId="77777777" w:rsidR="008B367F" w:rsidRPr="008B367F" w:rsidRDefault="008B367F" w:rsidP="008B367F">
      <w:pPr>
        <w:widowControl w:val="0"/>
        <w:autoSpaceDE w:val="0"/>
        <w:autoSpaceDN w:val="0"/>
        <w:adjustRightInd w:val="0"/>
        <w:spacing w:line="240" w:lineRule="auto"/>
        <w:ind w:left="480" w:hanging="480"/>
        <w:rPr>
          <w:noProof/>
          <w:szCs w:val="24"/>
        </w:rPr>
      </w:pPr>
      <w:r w:rsidRPr="008B367F">
        <w:rPr>
          <w:noProof/>
          <w:szCs w:val="24"/>
        </w:rPr>
        <w:t xml:space="preserve">Massimino,B. (2016) Accessing Online Data: Web-Crawling and Information-Scraping Techniques to Automate the Assembly of Research Data. </w:t>
      </w:r>
      <w:r w:rsidRPr="008B367F">
        <w:rPr>
          <w:i/>
          <w:iCs/>
          <w:noProof/>
          <w:szCs w:val="24"/>
        </w:rPr>
        <w:t>J. Bus. Logist.</w:t>
      </w:r>
      <w:r w:rsidRPr="008B367F">
        <w:rPr>
          <w:noProof/>
          <w:szCs w:val="24"/>
        </w:rPr>
        <w:t xml:space="preserve">, </w:t>
      </w:r>
      <w:r w:rsidRPr="008B367F">
        <w:rPr>
          <w:b/>
          <w:bCs/>
          <w:noProof/>
          <w:szCs w:val="24"/>
        </w:rPr>
        <w:t>37</w:t>
      </w:r>
      <w:r w:rsidRPr="008B367F">
        <w:rPr>
          <w:noProof/>
          <w:szCs w:val="24"/>
        </w:rPr>
        <w:t>, 34–42.</w:t>
      </w:r>
    </w:p>
    <w:p w14:paraId="42EC8DA9" w14:textId="77777777" w:rsidR="008B367F" w:rsidRPr="008B367F" w:rsidRDefault="008B367F" w:rsidP="008B367F">
      <w:pPr>
        <w:widowControl w:val="0"/>
        <w:autoSpaceDE w:val="0"/>
        <w:autoSpaceDN w:val="0"/>
        <w:adjustRightInd w:val="0"/>
        <w:spacing w:line="240" w:lineRule="auto"/>
        <w:ind w:left="480" w:hanging="480"/>
        <w:rPr>
          <w:noProof/>
        </w:rPr>
      </w:pPr>
      <w:r w:rsidRPr="008B367F">
        <w:rPr>
          <w:noProof/>
          <w:szCs w:val="24"/>
        </w:rPr>
        <w:t xml:space="preserve">Zvi,A. </w:t>
      </w:r>
      <w:r w:rsidRPr="008B367F">
        <w:rPr>
          <w:i/>
          <w:iCs/>
          <w:noProof/>
          <w:szCs w:val="24"/>
        </w:rPr>
        <w:t>et al.</w:t>
      </w:r>
      <w:r w:rsidRPr="008B367F">
        <w:rPr>
          <w:noProof/>
          <w:szCs w:val="24"/>
        </w:rPr>
        <w:t xml:space="preserve"> (2008) Whole genome identification of Mycobacterium tuberculosisvaccine candidates by comprehensive data mining and bioinformatic analyses. </w:t>
      </w:r>
      <w:r w:rsidRPr="008B367F">
        <w:rPr>
          <w:i/>
          <w:iCs/>
          <w:noProof/>
          <w:szCs w:val="24"/>
        </w:rPr>
        <w:t>BMC Med. Genomics</w:t>
      </w:r>
      <w:r w:rsidRPr="008B367F">
        <w:rPr>
          <w:noProof/>
          <w:szCs w:val="24"/>
        </w:rPr>
        <w:t xml:space="preserve">, </w:t>
      </w:r>
      <w:r w:rsidRPr="008B367F">
        <w:rPr>
          <w:b/>
          <w:bCs/>
          <w:noProof/>
          <w:szCs w:val="24"/>
        </w:rPr>
        <w:t>1</w:t>
      </w:r>
      <w:r w:rsidRPr="008B367F">
        <w:rPr>
          <w:noProof/>
          <w:szCs w:val="24"/>
        </w:rPr>
        <w:t>, 1–25.</w:t>
      </w:r>
    </w:p>
    <w:p w14:paraId="1D84D1A5" w14:textId="6E724493" w:rsidR="008D6B13" w:rsidRDefault="008739EF" w:rsidP="0018312A">
      <w:pPr>
        <w:widowControl w:val="0"/>
        <w:autoSpaceDE w:val="0"/>
        <w:autoSpaceDN w:val="0"/>
        <w:adjustRightInd w:val="0"/>
        <w:spacing w:line="240" w:lineRule="auto"/>
        <w:ind w:left="480" w:hanging="480"/>
      </w:pPr>
      <w:r>
        <w:fldChar w:fldCharType="end"/>
      </w:r>
    </w:p>
    <w:sectPr w:rsidR="008D6B13">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9492" w16cex:dateUtc="2021-01-13T23:47:00Z"/>
  <w16cex:commentExtensible w16cex:durableId="23A9951A" w16cex:dateUtc="2021-01-13T23:49:00Z"/>
  <w16cex:commentExtensible w16cex:durableId="23A99573" w16cex:dateUtc="2021-01-13T23:51:00Z"/>
  <w16cex:commentExtensible w16cex:durableId="23A995BA" w16cex:dateUtc="2021-01-13T23:52:00Z"/>
  <w16cex:commentExtensible w16cex:durableId="23A99BE2" w16cex:dateUtc="2021-01-14T00:18:00Z"/>
  <w16cex:commentExtensible w16cex:durableId="23A996E5" w16cex:dateUtc="2021-01-13T23:57:00Z"/>
  <w16cex:commentExtensible w16cex:durableId="23A99733" w16cex:dateUtc="2021-01-13T23:58:00Z"/>
  <w16cex:commentExtensible w16cex:durableId="23A99714" w16cex:dateUtc="2021-01-13T23:58:00Z"/>
  <w16cex:commentExtensible w16cex:durableId="23A99893" w16cex:dateUtc="2021-01-14T00:04:00Z"/>
  <w16cex:commentExtensible w16cex:durableId="23A9996E" w16cex:dateUtc="2021-01-14T00:08:00Z"/>
  <w16cex:commentExtensible w16cex:durableId="23A99997" w16cex:dateUtc="2021-01-14T00:08:00Z"/>
  <w16cex:commentExtensible w16cex:durableId="23A99A6A" w16cex:dateUtc="2021-01-14T00:12:00Z"/>
  <w16cex:commentExtensible w16cex:durableId="23A99C54" w16cex:dateUtc="2021-01-14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44A472" w16cid:durableId="23A928AA"/>
  <w16cid:commentId w16cid:paraId="6AC30F0E" w16cid:durableId="23A928AB"/>
  <w16cid:commentId w16cid:paraId="782453CC" w16cid:durableId="23A99492"/>
  <w16cid:commentId w16cid:paraId="6DEF1EB7" w16cid:durableId="23A9951A"/>
  <w16cid:commentId w16cid:paraId="3F52A93C" w16cid:durableId="23A99573"/>
  <w16cid:commentId w16cid:paraId="6BBB50DB" w16cid:durableId="23A995BA"/>
  <w16cid:commentId w16cid:paraId="248B5A03" w16cid:durableId="23A99BE2"/>
  <w16cid:commentId w16cid:paraId="453F1BB1" w16cid:durableId="23A996E5"/>
  <w16cid:commentId w16cid:paraId="701D8374" w16cid:durableId="23A99733"/>
  <w16cid:commentId w16cid:paraId="349AFF45" w16cid:durableId="23A99714"/>
  <w16cid:commentId w16cid:paraId="2A46CC46" w16cid:durableId="23A99893"/>
  <w16cid:commentId w16cid:paraId="0E9DB0D7" w16cid:durableId="23A9996E"/>
  <w16cid:commentId w16cid:paraId="6F1F0406" w16cid:durableId="23A99997"/>
  <w16cid:commentId w16cid:paraId="44E908B6" w16cid:durableId="23A99A6A"/>
  <w16cid:commentId w16cid:paraId="5243FBD9" w16cid:durableId="23A928AC"/>
  <w16cid:commentId w16cid:paraId="0AB1272D" w16cid:durableId="23A928AD"/>
  <w16cid:commentId w16cid:paraId="6CF30FB6" w16cid:durableId="23A99C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plex">
    <w:panose1 w:val="00000400000000000000"/>
    <w:charset w:val="00"/>
    <w:family w:val="auto"/>
    <w:pitch w:val="variable"/>
    <w:sig w:usb0="20002A87" w:usb1="000018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BB"/>
    <w:rsid w:val="00024696"/>
    <w:rsid w:val="000467C2"/>
    <w:rsid w:val="00052406"/>
    <w:rsid w:val="00066238"/>
    <w:rsid w:val="000815E8"/>
    <w:rsid w:val="00086608"/>
    <w:rsid w:val="00095AAC"/>
    <w:rsid w:val="000D0C6B"/>
    <w:rsid w:val="000D3F85"/>
    <w:rsid w:val="000E2C34"/>
    <w:rsid w:val="000F3778"/>
    <w:rsid w:val="00110018"/>
    <w:rsid w:val="0011353B"/>
    <w:rsid w:val="001151DB"/>
    <w:rsid w:val="00117C13"/>
    <w:rsid w:val="0013038F"/>
    <w:rsid w:val="00140971"/>
    <w:rsid w:val="00141186"/>
    <w:rsid w:val="0016193B"/>
    <w:rsid w:val="001656AE"/>
    <w:rsid w:val="001824A1"/>
    <w:rsid w:val="0018312A"/>
    <w:rsid w:val="001848C2"/>
    <w:rsid w:val="00186FAC"/>
    <w:rsid w:val="0019132F"/>
    <w:rsid w:val="001914A2"/>
    <w:rsid w:val="00193BE8"/>
    <w:rsid w:val="001A1D42"/>
    <w:rsid w:val="001A3976"/>
    <w:rsid w:val="001B5224"/>
    <w:rsid w:val="001D4686"/>
    <w:rsid w:val="001F3DC8"/>
    <w:rsid w:val="001F403E"/>
    <w:rsid w:val="001F4F69"/>
    <w:rsid w:val="00200394"/>
    <w:rsid w:val="002009B1"/>
    <w:rsid w:val="00204B65"/>
    <w:rsid w:val="00204D46"/>
    <w:rsid w:val="00224E23"/>
    <w:rsid w:val="00236A00"/>
    <w:rsid w:val="00247FF1"/>
    <w:rsid w:val="00276FC7"/>
    <w:rsid w:val="002E005D"/>
    <w:rsid w:val="002E4129"/>
    <w:rsid w:val="00315DBB"/>
    <w:rsid w:val="003170C0"/>
    <w:rsid w:val="003240C8"/>
    <w:rsid w:val="00324D84"/>
    <w:rsid w:val="00336F56"/>
    <w:rsid w:val="00341572"/>
    <w:rsid w:val="00364F4C"/>
    <w:rsid w:val="003703BB"/>
    <w:rsid w:val="00375676"/>
    <w:rsid w:val="00377FB2"/>
    <w:rsid w:val="0038346F"/>
    <w:rsid w:val="00384CFA"/>
    <w:rsid w:val="003851F3"/>
    <w:rsid w:val="003854E3"/>
    <w:rsid w:val="00385B79"/>
    <w:rsid w:val="00390CA7"/>
    <w:rsid w:val="003940F1"/>
    <w:rsid w:val="003D7BB7"/>
    <w:rsid w:val="003F071C"/>
    <w:rsid w:val="003F08BA"/>
    <w:rsid w:val="00401B32"/>
    <w:rsid w:val="004062AC"/>
    <w:rsid w:val="004104AB"/>
    <w:rsid w:val="004115F8"/>
    <w:rsid w:val="00421C84"/>
    <w:rsid w:val="00435540"/>
    <w:rsid w:val="00445786"/>
    <w:rsid w:val="00446864"/>
    <w:rsid w:val="00451EFF"/>
    <w:rsid w:val="00452713"/>
    <w:rsid w:val="00487F5E"/>
    <w:rsid w:val="00492403"/>
    <w:rsid w:val="004A4310"/>
    <w:rsid w:val="004C082C"/>
    <w:rsid w:val="004E2B30"/>
    <w:rsid w:val="004E503A"/>
    <w:rsid w:val="004F0EA9"/>
    <w:rsid w:val="004F3366"/>
    <w:rsid w:val="00511FF8"/>
    <w:rsid w:val="0054717A"/>
    <w:rsid w:val="0056121A"/>
    <w:rsid w:val="005709F5"/>
    <w:rsid w:val="00575BC0"/>
    <w:rsid w:val="00581D64"/>
    <w:rsid w:val="00587F71"/>
    <w:rsid w:val="005928BB"/>
    <w:rsid w:val="00595F28"/>
    <w:rsid w:val="00597B37"/>
    <w:rsid w:val="005A4420"/>
    <w:rsid w:val="005B1AB4"/>
    <w:rsid w:val="005B5708"/>
    <w:rsid w:val="005D61EA"/>
    <w:rsid w:val="005F1952"/>
    <w:rsid w:val="005F61F4"/>
    <w:rsid w:val="00620CA5"/>
    <w:rsid w:val="006251E5"/>
    <w:rsid w:val="00647A24"/>
    <w:rsid w:val="00666DEA"/>
    <w:rsid w:val="00666EC1"/>
    <w:rsid w:val="006A4C90"/>
    <w:rsid w:val="006A5AE7"/>
    <w:rsid w:val="006B6F5D"/>
    <w:rsid w:val="006D69F2"/>
    <w:rsid w:val="006E0BB2"/>
    <w:rsid w:val="006F532F"/>
    <w:rsid w:val="00706ABD"/>
    <w:rsid w:val="00707E36"/>
    <w:rsid w:val="007245AB"/>
    <w:rsid w:val="00750D93"/>
    <w:rsid w:val="00753FE0"/>
    <w:rsid w:val="00763C2B"/>
    <w:rsid w:val="007660FB"/>
    <w:rsid w:val="0076624A"/>
    <w:rsid w:val="00775639"/>
    <w:rsid w:val="0077614D"/>
    <w:rsid w:val="00782460"/>
    <w:rsid w:val="00795B45"/>
    <w:rsid w:val="007A0467"/>
    <w:rsid w:val="007B65B7"/>
    <w:rsid w:val="007C0DC0"/>
    <w:rsid w:val="007C5A8D"/>
    <w:rsid w:val="007D1B68"/>
    <w:rsid w:val="008017D8"/>
    <w:rsid w:val="008048AE"/>
    <w:rsid w:val="00817238"/>
    <w:rsid w:val="00826893"/>
    <w:rsid w:val="008376C6"/>
    <w:rsid w:val="008405B1"/>
    <w:rsid w:val="008564D2"/>
    <w:rsid w:val="00862FDF"/>
    <w:rsid w:val="00864D87"/>
    <w:rsid w:val="008737EA"/>
    <w:rsid w:val="008739EF"/>
    <w:rsid w:val="0089179D"/>
    <w:rsid w:val="008B367F"/>
    <w:rsid w:val="008B5C72"/>
    <w:rsid w:val="008D6B13"/>
    <w:rsid w:val="008E2F1A"/>
    <w:rsid w:val="008E34EC"/>
    <w:rsid w:val="008E525C"/>
    <w:rsid w:val="008F1EFE"/>
    <w:rsid w:val="008F7D07"/>
    <w:rsid w:val="00910584"/>
    <w:rsid w:val="00925FB6"/>
    <w:rsid w:val="00933AFF"/>
    <w:rsid w:val="00933F42"/>
    <w:rsid w:val="00937751"/>
    <w:rsid w:val="00937F51"/>
    <w:rsid w:val="00955FD8"/>
    <w:rsid w:val="00956AB0"/>
    <w:rsid w:val="009758D5"/>
    <w:rsid w:val="00991368"/>
    <w:rsid w:val="00991897"/>
    <w:rsid w:val="009A471C"/>
    <w:rsid w:val="009C247D"/>
    <w:rsid w:val="00A043D4"/>
    <w:rsid w:val="00A11732"/>
    <w:rsid w:val="00A137DA"/>
    <w:rsid w:val="00A2579C"/>
    <w:rsid w:val="00A50311"/>
    <w:rsid w:val="00A54CA6"/>
    <w:rsid w:val="00A616E7"/>
    <w:rsid w:val="00A90FF2"/>
    <w:rsid w:val="00AB7372"/>
    <w:rsid w:val="00AB7854"/>
    <w:rsid w:val="00AC041E"/>
    <w:rsid w:val="00AC6B90"/>
    <w:rsid w:val="00AF445E"/>
    <w:rsid w:val="00AF6D35"/>
    <w:rsid w:val="00B01A95"/>
    <w:rsid w:val="00B403D1"/>
    <w:rsid w:val="00B53AAA"/>
    <w:rsid w:val="00B55A9C"/>
    <w:rsid w:val="00B60757"/>
    <w:rsid w:val="00B61F71"/>
    <w:rsid w:val="00B827E7"/>
    <w:rsid w:val="00B84940"/>
    <w:rsid w:val="00B85AB8"/>
    <w:rsid w:val="00BC51C7"/>
    <w:rsid w:val="00C057DC"/>
    <w:rsid w:val="00C10A01"/>
    <w:rsid w:val="00C25C24"/>
    <w:rsid w:val="00C32CE6"/>
    <w:rsid w:val="00C35205"/>
    <w:rsid w:val="00C5498D"/>
    <w:rsid w:val="00C61A12"/>
    <w:rsid w:val="00C762D0"/>
    <w:rsid w:val="00C82018"/>
    <w:rsid w:val="00C8405F"/>
    <w:rsid w:val="00C917F1"/>
    <w:rsid w:val="00C95727"/>
    <w:rsid w:val="00CA2FCF"/>
    <w:rsid w:val="00CA3DF1"/>
    <w:rsid w:val="00CA52DE"/>
    <w:rsid w:val="00CB2382"/>
    <w:rsid w:val="00CF4A3B"/>
    <w:rsid w:val="00D02E89"/>
    <w:rsid w:val="00D042B3"/>
    <w:rsid w:val="00D22051"/>
    <w:rsid w:val="00D24165"/>
    <w:rsid w:val="00D255C8"/>
    <w:rsid w:val="00D650B3"/>
    <w:rsid w:val="00D65478"/>
    <w:rsid w:val="00D74B13"/>
    <w:rsid w:val="00D75996"/>
    <w:rsid w:val="00D84C1D"/>
    <w:rsid w:val="00D926CE"/>
    <w:rsid w:val="00DB4EE8"/>
    <w:rsid w:val="00DC47AF"/>
    <w:rsid w:val="00DE4E05"/>
    <w:rsid w:val="00DF31E4"/>
    <w:rsid w:val="00E0618B"/>
    <w:rsid w:val="00E12F57"/>
    <w:rsid w:val="00E1610D"/>
    <w:rsid w:val="00E21DEB"/>
    <w:rsid w:val="00E565E9"/>
    <w:rsid w:val="00E56953"/>
    <w:rsid w:val="00E62288"/>
    <w:rsid w:val="00E7010D"/>
    <w:rsid w:val="00E84D26"/>
    <w:rsid w:val="00EA1526"/>
    <w:rsid w:val="00EA2856"/>
    <w:rsid w:val="00EA5BD5"/>
    <w:rsid w:val="00EB164C"/>
    <w:rsid w:val="00EB42F4"/>
    <w:rsid w:val="00EB5529"/>
    <w:rsid w:val="00ED0105"/>
    <w:rsid w:val="00EE07C8"/>
    <w:rsid w:val="00F1583C"/>
    <w:rsid w:val="00F15BF0"/>
    <w:rsid w:val="00F21407"/>
    <w:rsid w:val="00F21980"/>
    <w:rsid w:val="00F22291"/>
    <w:rsid w:val="00F3195D"/>
    <w:rsid w:val="00F325AA"/>
    <w:rsid w:val="00F440CD"/>
    <w:rsid w:val="00F446DA"/>
    <w:rsid w:val="00F76FC8"/>
    <w:rsid w:val="00F94229"/>
    <w:rsid w:val="00FA101B"/>
    <w:rsid w:val="00FA67DC"/>
    <w:rsid w:val="00FC4904"/>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8FB8"/>
  <w15:chartTrackingRefBased/>
  <w15:docId w15:val="{C99E65A9-BEF1-4F4F-9750-B86467B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7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C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739EF"/>
    <w:pPr>
      <w:spacing w:before="120" w:after="120" w:line="240" w:lineRule="auto"/>
    </w:pPr>
    <w:rPr>
      <w:rFonts w:asciiTheme="minorHAnsi" w:eastAsiaTheme="minorEastAsia" w:hAnsiTheme="minorHAnsi" w:cstheme="minorBidi"/>
      <w:b/>
      <w:bCs/>
      <w:caps/>
      <w:sz w:val="20"/>
      <w:szCs w:val="20"/>
      <w:lang w:eastAsia="zh-CN"/>
    </w:rPr>
  </w:style>
  <w:style w:type="paragraph" w:styleId="TOC2">
    <w:name w:val="toc 2"/>
    <w:basedOn w:val="Normal"/>
    <w:next w:val="Normal"/>
    <w:autoRedefine/>
    <w:uiPriority w:val="39"/>
    <w:unhideWhenUsed/>
    <w:rsid w:val="008739EF"/>
    <w:pPr>
      <w:spacing w:after="0" w:line="240" w:lineRule="auto"/>
      <w:ind w:left="240"/>
    </w:pPr>
    <w:rPr>
      <w:rFonts w:asciiTheme="minorHAnsi" w:eastAsiaTheme="minorEastAsia" w:hAnsiTheme="minorHAnsi" w:cstheme="minorBidi"/>
      <w:smallCaps/>
      <w:sz w:val="20"/>
      <w:szCs w:val="20"/>
      <w:lang w:eastAsia="zh-CN"/>
    </w:rPr>
  </w:style>
  <w:style w:type="paragraph" w:styleId="TOC3">
    <w:name w:val="toc 3"/>
    <w:basedOn w:val="Normal"/>
    <w:next w:val="Normal"/>
    <w:autoRedefine/>
    <w:uiPriority w:val="39"/>
    <w:unhideWhenUsed/>
    <w:rsid w:val="008739EF"/>
    <w:pPr>
      <w:spacing w:after="0" w:line="240" w:lineRule="auto"/>
      <w:ind w:left="480"/>
    </w:pPr>
    <w:rPr>
      <w:rFonts w:asciiTheme="minorHAnsi" w:eastAsiaTheme="minorEastAsia" w:hAnsiTheme="minorHAnsi" w:cstheme="minorBidi"/>
      <w:i/>
      <w:iCs/>
      <w:sz w:val="20"/>
      <w:szCs w:val="20"/>
      <w:lang w:eastAsia="zh-CN"/>
    </w:rPr>
  </w:style>
  <w:style w:type="character" w:styleId="Hyperlink">
    <w:name w:val="Hyperlink"/>
    <w:basedOn w:val="DefaultParagraphFont"/>
    <w:uiPriority w:val="99"/>
    <w:unhideWhenUsed/>
    <w:rsid w:val="008739EF"/>
    <w:rPr>
      <w:color w:val="0563C1" w:themeColor="hyperlink"/>
      <w:u w:val="single"/>
    </w:rPr>
  </w:style>
  <w:style w:type="character" w:customStyle="1" w:styleId="Heading1Char">
    <w:name w:val="Heading 1 Char"/>
    <w:basedOn w:val="DefaultParagraphFont"/>
    <w:link w:val="Heading1"/>
    <w:uiPriority w:val="9"/>
    <w:rsid w:val="008739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739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C2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55FD8"/>
    <w:rPr>
      <w:sz w:val="16"/>
      <w:szCs w:val="16"/>
    </w:rPr>
  </w:style>
  <w:style w:type="paragraph" w:styleId="CommentText">
    <w:name w:val="annotation text"/>
    <w:basedOn w:val="Normal"/>
    <w:link w:val="CommentTextChar"/>
    <w:uiPriority w:val="99"/>
    <w:semiHidden/>
    <w:unhideWhenUsed/>
    <w:rsid w:val="00955FD8"/>
    <w:pPr>
      <w:spacing w:line="240" w:lineRule="auto"/>
    </w:pPr>
    <w:rPr>
      <w:sz w:val="20"/>
      <w:szCs w:val="20"/>
    </w:rPr>
  </w:style>
  <w:style w:type="character" w:customStyle="1" w:styleId="CommentTextChar">
    <w:name w:val="Comment Text Char"/>
    <w:basedOn w:val="DefaultParagraphFont"/>
    <w:link w:val="CommentText"/>
    <w:uiPriority w:val="99"/>
    <w:semiHidden/>
    <w:rsid w:val="00955FD8"/>
    <w:rPr>
      <w:sz w:val="20"/>
      <w:szCs w:val="20"/>
    </w:rPr>
  </w:style>
  <w:style w:type="paragraph" w:styleId="CommentSubject">
    <w:name w:val="annotation subject"/>
    <w:basedOn w:val="CommentText"/>
    <w:next w:val="CommentText"/>
    <w:link w:val="CommentSubjectChar"/>
    <w:uiPriority w:val="99"/>
    <w:semiHidden/>
    <w:unhideWhenUsed/>
    <w:rsid w:val="00955FD8"/>
    <w:rPr>
      <w:b/>
      <w:bCs/>
    </w:rPr>
  </w:style>
  <w:style w:type="character" w:customStyle="1" w:styleId="CommentSubjectChar">
    <w:name w:val="Comment Subject Char"/>
    <w:basedOn w:val="CommentTextChar"/>
    <w:link w:val="CommentSubject"/>
    <w:uiPriority w:val="99"/>
    <w:semiHidden/>
    <w:rsid w:val="00955FD8"/>
    <w:rPr>
      <w:b/>
      <w:bCs/>
      <w:sz w:val="20"/>
      <w:szCs w:val="20"/>
    </w:rPr>
  </w:style>
  <w:style w:type="paragraph" w:styleId="BalloonText">
    <w:name w:val="Balloon Text"/>
    <w:basedOn w:val="Normal"/>
    <w:link w:val="BalloonTextChar"/>
    <w:uiPriority w:val="99"/>
    <w:semiHidden/>
    <w:unhideWhenUsed/>
    <w:rsid w:val="00955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8"/>
    <w:rPr>
      <w:rFonts w:ascii="Segoe UI" w:hAnsi="Segoe UI" w:cs="Segoe UI"/>
      <w:sz w:val="18"/>
      <w:szCs w:val="18"/>
    </w:rPr>
  </w:style>
  <w:style w:type="character" w:customStyle="1" w:styleId="UnresolvedMention">
    <w:name w:val="Unresolved Mention"/>
    <w:basedOn w:val="DefaultParagraphFont"/>
    <w:uiPriority w:val="99"/>
    <w:semiHidden/>
    <w:unhideWhenUsed/>
    <w:rsid w:val="0038346F"/>
    <w:rPr>
      <w:color w:val="605E5C"/>
      <w:shd w:val="clear" w:color="auto" w:fill="E1DFDD"/>
    </w:rPr>
  </w:style>
  <w:style w:type="paragraph" w:styleId="Revision">
    <w:name w:val="Revision"/>
    <w:hidden/>
    <w:uiPriority w:val="99"/>
    <w:semiHidden/>
    <w:rsid w:val="0038346F"/>
    <w:pPr>
      <w:spacing w:after="0" w:line="240" w:lineRule="auto"/>
    </w:pPr>
  </w:style>
  <w:style w:type="character" w:styleId="FollowedHyperlink">
    <w:name w:val="FollowedHyperlink"/>
    <w:basedOn w:val="DefaultParagraphFont"/>
    <w:uiPriority w:val="99"/>
    <w:semiHidden/>
    <w:unhideWhenUsed/>
    <w:rsid w:val="00AC6B90"/>
    <w:rPr>
      <w:color w:val="954F72" w:themeColor="followedHyperlink"/>
      <w:u w:val="single"/>
    </w:rPr>
  </w:style>
  <w:style w:type="character" w:styleId="PlaceholderText">
    <w:name w:val="Placeholder Text"/>
    <w:basedOn w:val="DefaultParagraphFont"/>
    <w:uiPriority w:val="99"/>
    <w:semiHidden/>
    <w:rsid w:val="0077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3241">
      <w:bodyDiv w:val="1"/>
      <w:marLeft w:val="0"/>
      <w:marRight w:val="0"/>
      <w:marTop w:val="0"/>
      <w:marBottom w:val="0"/>
      <w:divBdr>
        <w:top w:val="none" w:sz="0" w:space="0" w:color="auto"/>
        <w:left w:val="none" w:sz="0" w:space="0" w:color="auto"/>
        <w:bottom w:val="none" w:sz="0" w:space="0" w:color="auto"/>
        <w:right w:val="none" w:sz="0" w:space="0" w:color="auto"/>
      </w:divBdr>
    </w:div>
    <w:div w:id="1040321951">
      <w:bodyDiv w:val="1"/>
      <w:marLeft w:val="0"/>
      <w:marRight w:val="0"/>
      <w:marTop w:val="0"/>
      <w:marBottom w:val="0"/>
      <w:divBdr>
        <w:top w:val="none" w:sz="0" w:space="0" w:color="auto"/>
        <w:left w:val="none" w:sz="0" w:space="0" w:color="auto"/>
        <w:bottom w:val="none" w:sz="0" w:space="0" w:color="auto"/>
        <w:right w:val="none" w:sz="0" w:space="0" w:color="auto"/>
      </w:divBdr>
    </w:div>
    <w:div w:id="1443765938">
      <w:bodyDiv w:val="1"/>
      <w:marLeft w:val="0"/>
      <w:marRight w:val="0"/>
      <w:marTop w:val="0"/>
      <w:marBottom w:val="0"/>
      <w:divBdr>
        <w:top w:val="none" w:sz="0" w:space="0" w:color="auto"/>
        <w:left w:val="none" w:sz="0" w:space="0" w:color="auto"/>
        <w:bottom w:val="none" w:sz="0" w:space="0" w:color="auto"/>
        <w:right w:val="none" w:sz="0" w:space="0" w:color="auto"/>
      </w:divBdr>
    </w:div>
    <w:div w:id="1514490534">
      <w:bodyDiv w:val="1"/>
      <w:marLeft w:val="0"/>
      <w:marRight w:val="0"/>
      <w:marTop w:val="0"/>
      <w:marBottom w:val="0"/>
      <w:divBdr>
        <w:top w:val="none" w:sz="0" w:space="0" w:color="auto"/>
        <w:left w:val="none" w:sz="0" w:space="0" w:color="auto"/>
        <w:bottom w:val="none" w:sz="0" w:space="0" w:color="auto"/>
        <w:right w:val="none" w:sz="0" w:space="0" w:color="auto"/>
      </w:divBdr>
    </w:div>
    <w:div w:id="1630823277">
      <w:bodyDiv w:val="1"/>
      <w:marLeft w:val="0"/>
      <w:marRight w:val="0"/>
      <w:marTop w:val="0"/>
      <w:marBottom w:val="0"/>
      <w:divBdr>
        <w:top w:val="none" w:sz="0" w:space="0" w:color="auto"/>
        <w:left w:val="none" w:sz="0" w:space="0" w:color="auto"/>
        <w:bottom w:val="none" w:sz="0" w:space="0" w:color="auto"/>
        <w:right w:val="none" w:sz="0" w:space="0" w:color="auto"/>
      </w:divBdr>
    </w:div>
    <w:div w:id="169056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reiburgermsu/Biochemical-databas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reiburgermsu/Biochemical-databases" TargetMode="External"/><Relationship Id="rId5" Type="http://schemas.openxmlformats.org/officeDocument/2006/relationships/hyperlink" Target="mailto:andrewfreiburger@gmail.com" TargetMode="Externa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15405-174E-4B33-977F-291BE3ED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Freiburger</dc:creator>
  <cp:keywords/>
  <dc:description/>
  <cp:lastModifiedBy>Andrew Freiburger</cp:lastModifiedBy>
  <cp:revision>19</cp:revision>
  <dcterms:created xsi:type="dcterms:W3CDTF">2021-05-25T19:10:00Z</dcterms:created>
  <dcterms:modified xsi:type="dcterms:W3CDTF">2021-05-28T04:24:00Z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http://www.zotero.org/styles/bioinformatics</vt:lpwstr>
  </property>
  <property fmtid="{D5CDD505-2E9C-101B-9397-08002B2CF9AE}" pid="5" name="Mendeley Recent Style Name 1_1">
    <vt:lpwstr>Bioinformatics</vt:lpwstr>
  </property>
  <property fmtid="{D5CDD505-2E9C-101B-9397-08002B2CF9AE}" pid="6" name="Mendeley Recent Style Id 2_1">
    <vt:lpwstr>http://www.zotero.org/styles/briefings-in-bioinformatics</vt:lpwstr>
  </property>
  <property fmtid="{D5CDD505-2E9C-101B-9397-08002B2CF9AE}" pid="7" name="Mendeley Recent Style Name 2_1">
    <vt:lpwstr>Briefings in Bioinformatics</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http://www.zotero.org/styles/industrial-crops-and-products</vt:lpwstr>
  </property>
  <property fmtid="{D5CDD505-2E9C-101B-9397-08002B2CF9AE}" pid="13" name="Mendeley Recent Style Name 5_1">
    <vt:lpwstr>Industrial Crops &amp; Products</vt:lpwstr>
  </property>
  <property fmtid="{D5CDD505-2E9C-101B-9397-08002B2CF9AE}" pid="14" name="Mendeley Recent Style Id 6_1">
    <vt:lpwstr>http://www.zotero.org/styles/journal-of-chemical-education</vt:lpwstr>
  </property>
  <property fmtid="{D5CDD505-2E9C-101B-9397-08002B2CF9AE}" pid="15" name="Mendeley Recent Style Name 6_1">
    <vt:lpwstr>Journal of Chemical Education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224c534a-f505-3e2c-980b-bd298e1538b6</vt:lpwstr>
  </property>
  <property fmtid="{D5CDD505-2E9C-101B-9397-08002B2CF9AE}" pid="24" name="Mendeley Citation Style_1">
    <vt:lpwstr>http://www.zotero.org/styles/bioinformatics</vt:lpwstr>
  </property>
</Properties>
</file>