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MAG-resolved denitrification and DNRA gene inventory and its temporal dynamics across the CAN bioreactor Nanopore metagenome time series</w:t>
      </w:r>
    </w:p>
    <w:p>
      <w:pPr>
        <w:jc w:val="center"/>
      </w:pPr>
      <w:r>
        <w:rPr>
          <w:i/>
          <w:color w:val="606060"/>
          <w:sz w:val="20"/>
        </w:rPr>
        <w:t>[Authors] · [Affiliations] · Methods / Results / Discussion draft</w:t>
      </w:r>
    </w:p>
    <w:p>
      <w:pPr>
        <w:pStyle w:val="Heading2"/>
      </w:pPr>
      <w:r>
        <w:t>Author notes — placeholders to complete</w:t>
      </w:r>
    </w:p>
    <w:p>
      <w:r>
        <w:rPr>
          <w:i/>
        </w:rPr>
        <w:t>The bracketed [red] items in the text below, and the points here, need author input before submission:</w:t>
      </w:r>
    </w:p>
    <w:p>
      <w:pPr>
        <w:pStyle w:val="ListBullet"/>
      </w:pPr>
      <w:r>
        <w:t>Expand the acronym 'CAN' and state the precise reactor type/configuration, sampling dates, and the Phase I-V operational boundaries (not in repository).</w:t>
      </w:r>
    </w:p>
    <w:p>
      <w:pPr>
        <w:pStyle w:val="ListBullet"/>
      </w:pPr>
      <w:r>
        <w:t>Provide tool versions: assembler, binning tool, Pilon, dRep (and parameters), CheckM2, GTDB-Tk, CoverM, KofamScan/KOfam, Bakta, eggNOG-mapper, samtools, and minimap2 (minimap2 2.28 is recorded; others undocumented).</w:t>
      </w:r>
    </w:p>
    <w:p>
      <w:pPr>
        <w:pStyle w:val="ListBullet"/>
      </w:pPr>
      <w:r>
        <w:t>Resolve the 21-vs-19 focal-MAG count for the figures: the 21-MAG selection is on disk, but the reduction to 19 drawn columns is inferred from the figure input file and is not documented explicitly. Confirm and state the criterion.</w:t>
      </w:r>
    </w:p>
    <w:p>
      <w:pPr>
        <w:pStyle w:val="ListBullet"/>
      </w:pPr>
      <w:r>
        <w:t>Locate or document the alignment command that produced the committed 21-MAG focal-reference BAMs (the figure denominators). Only the separate 276-MAG community-reference minimap2 command is in the repo, and it does not reproduce the committed denominators.</w:t>
      </w:r>
    </w:p>
    <w:p>
      <w:pPr>
        <w:pStyle w:val="ListBullet"/>
      </w:pPr>
      <w:r>
        <w:t>Clarify the composition of the larger '~337-MAG dataset' used for the qNOR (K11188) absence test and how it relates to the 276-MAG dereplicated set.</w:t>
      </w:r>
    </w:p>
    <w:p>
      <w:pPr>
        <w:pStyle w:val="ListBullet"/>
      </w:pPr>
      <w:r>
        <w:t>Perform the recommended phylogenetic adjudication of the nosZ clade I/II split (place the 13 query genes against an independently clade-labeled reference; re-examine whether NosZREF-1577D = II.D belongs to clade I). Reconcile the figure (1 clade I), the diamond spreadsheets (7 clade I), and out/summary.md.</w:t>
      </w:r>
    </w:p>
    <w:p>
      <w:pPr>
        <w:pStyle w:val="ListBullet"/>
      </w:pPr>
      <w:r>
        <w:t>Verify reference provenance: the diamond NosZ reference FASTA is attributed to Orellana et al. 2014 plus an unresolved 'Chee'/Chee-Sanford source; confirm against FASTA headers. Confirm GTDB-Tk v2 DOI, the nhmmer (Wheeler &amp; Eddy 2013) citation if needed, and whether DIAMOND v1 or v2 was actually run.</w:t>
      </w:r>
    </w:p>
    <w:p>
      <w:pPr>
        <w:pStyle w:val="ListBullet"/>
      </w:pPr>
      <w:r>
        <w:t>Confirm a current KEGG/KOfam release citation if a specific release was used (beyond the foundational Kanehisa &amp; Goto 2000).</w:t>
      </w:r>
    </w:p>
    <w:p>
      <w:pPr>
        <w:pStyle w:val="ListBullet"/>
      </w:pPr>
      <w:r>
        <w:t>Decide whether the documented 'norBC/nosZ' label artifact in the older non-claded aggregator needs correcting in any committed output table referenced by the manuscript.</w:t>
      </w:r>
    </w:p>
    <w:p/>
    <w:p>
      <w:pPr>
        <w:pStyle w:val="Heading1"/>
      </w:pPr>
      <w:r>
        <w:t>Methods</w:t>
      </w:r>
    </w:p>
    <w:p>
      <w:pPr>
        <w:pStyle w:val="Heading2"/>
      </w:pPr>
      <w:r>
        <w:t>Study system, sampling, and sequencing</w:t>
      </w:r>
    </w:p>
    <w:p>
      <w:r>
        <w:t xml:space="preserve">The study system is referred to throughout as the "CAN system," a wastewater bioreactor analyzed within an enhanced biological phosphorus removal (EBPR)/denitrification framework. The functional analysis is organized around the canonical EBPR guilds — polyphosphate-accumulating organisms (PAOs, e.g. </w:t>
      </w:r>
      <w:r>
        <w:rPr>
          <w:i/>
        </w:rPr>
        <w:t>Ca.</w:t>
      </w:r>
      <w:r>
        <w:t xml:space="preserve"> Accumulibacter), glycogen-accumulating organisms (GAOs, e.g. </w:t>
      </w:r>
      <w:r>
        <w:rPr>
          <w:i/>
        </w:rPr>
        <w:t>Ca.</w:t>
      </w:r>
      <w:r>
        <w:t xml:space="preserve"> Competibacter), and denitrifiers — and around the reactor operational variables documented in the project notes (Phases I–V; aeration, nitrite carryover, carbon-to-nitrogen ratio, and propionate enrichment). </w:t>
      </w:r>
      <w:r>
        <w:rPr>
          <w:b/>
          <w:color w:val="C00000"/>
        </w:rPr>
        <w:t>[The expansion of the acronym "CAN," the precise reactor type/configuration, and the sampling dates and intervals are not documented in the source material and are left for the author to provide.]</w:t>
      </w:r>
    </w:p>
    <w:p>
      <w:r>
        <w:t xml:space="preserve">The reactor was sampled as a five-point time series and subjected to long-read (Oxford Nanopore) shotgun metagenomic sequencing, yielding samples CAN_1–CAN_5, treated as ordered time points (CAN_1 → CAN_5). Per-sample read inputs were </w:t>
      </w:r>
      <w:r>
        <w:rPr>
          <w:rFonts w:ascii="Consolas" w:hAnsi="Consolas"/>
          <w:sz w:val="19"/>
        </w:rPr>
        <w:t>CAN_{1..5}_nanopore.fastq.gz</w:t>
      </w:r>
      <w:r>
        <w:t xml:space="preserve">. Because the data were long-read Nanopore reads, assemblies were Pilon-polished (every contig name terminates in </w:t>
      </w:r>
      <w:r>
        <w:rPr>
          <w:rFonts w:ascii="Consolas" w:hAnsi="Consolas"/>
          <w:sz w:val="19"/>
        </w:rPr>
        <w:t>_pilon</w:t>
      </w:r>
      <w:r>
        <w:t xml:space="preserve">). </w:t>
      </w:r>
      <w:r>
        <w:rPr>
          <w:b/>
          <w:color w:val="C00000"/>
        </w:rPr>
        <w:t>[Pilon version undocumented.]</w:t>
      </w:r>
    </w:p>
    <w:p>
      <w:pPr>
        <w:pStyle w:val="Heading2"/>
      </w:pPr>
      <w:r>
        <w:t>Assembly, binning, dereplication, and taxonomy</w:t>
      </w:r>
    </w:p>
    <w:p>
      <w:r>
        <w:t>Bins were generated both per sample (</w:t>
      </w:r>
      <w:r>
        <w:rPr>
          <w:rFonts w:ascii="Consolas" w:hAnsi="Consolas"/>
          <w:sz w:val="19"/>
        </w:rPr>
        <w:t>CAN_&lt;n&gt;_bin.&lt;k&gt;</w:t>
      </w:r>
      <w:r>
        <w:t>) and from a co-assembly (</w:t>
      </w:r>
      <w:r>
        <w:rPr>
          <w:rFonts w:ascii="Consolas" w:hAnsi="Consolas"/>
          <w:sz w:val="19"/>
        </w:rPr>
        <w:t>coasm_bin.&lt;k&gt;</w:t>
      </w:r>
      <w:r>
        <w:t xml:space="preserve">), and genomes were dereplicated with dRep (Olm et al. 2017), yielding 276 dereplicated MAGs. MAG completeness and contamination were assessed with CheckM2 (Chklovski et al. 2023), and taxonomy was assigned with GTDB-Tk (Chaumeil et al. 2022) against the GTDB reference taxonomy (Parks et al. 2022); GTDB-style placeholder species identifiers (e.g. </w:t>
      </w:r>
      <w:r>
        <w:rPr>
          <w:i/>
        </w:rPr>
        <w:t>sp014879755</w:t>
      </w:r>
      <w:r>
        <w:t xml:space="preserve">, UBA5532, JAEULV01) confirm GTDB-Tk as the source. Full ranks (Domain–Species), per-MAG iterative identifiers (iterativeIDs), and per-sample relative abundances were consolidated in the authoritative MAG summary table, from which the per-MAG figure labels (Genus, Species, iterativeID) were drawn. </w:t>
      </w:r>
      <w:r>
        <w:rPr>
          <w:b/>
          <w:color w:val="C00000"/>
        </w:rPr>
        <w:t>[The binning, dereplication, and annotation steps were executed upstream on a compute server (paths under `/scratch1/afreiburger/...`) and are represented here only by their committed outputs; assembler/version, binning tool/version, dRep parameters, and the CheckM2/GTDB-Tk/CoverM versions are not recorded.]</w:t>
      </w:r>
    </w:p>
    <w:p>
      <w:pPr>
        <w:pStyle w:val="Heading2"/>
      </w:pPr>
      <w:r>
        <w:t>Functional annotation and target N-cycle gene selection</w:t>
      </w:r>
    </w:p>
    <w:p>
      <w:r>
        <w:t xml:space="preserve">Proteins were predicted with Prodigal (Hyatt et al. 2010) and annotated against the KOfam HMM profiles using KofamScan (Aramaki et al. 2020), retaining KEGG Orthology (KO) assignments when the appropriate score met KofamScan's KO-specific adaptive threshold (the domain score for KOs with </w:t>
      </w:r>
      <w:r>
        <w:rPr>
          <w:rFonts w:ascii="Consolas" w:hAnsi="Consolas"/>
          <w:sz w:val="19"/>
        </w:rPr>
        <w:t>score_type == domain</w:t>
      </w:r>
      <w:r>
        <w:t xml:space="preserve">, otherwise the full score). </w:t>
      </w:r>
      <w:r>
        <w:rPr>
          <w:b/>
          <w:color w:val="C00000"/>
        </w:rPr>
        <w:t>[KofamScan/KOfam version undocumented.]</w:t>
      </w:r>
      <w:r>
        <w:t xml:space="preserve"> A curated panel of 42 target KOs (covering N-cycle, polyphosphate, phosphate-transport, PHA, acetate, propionate/methylcitrate, and glycogen modules) was defined; the N-cycle subset and its KofamScan thresholds are listed in </w:t>
      </w:r>
      <w:r>
        <w:rPr>
          <w:b/>
        </w:rPr>
        <w:t>Table 1</w:t>
      </w:r>
      <w:r>
        <w:t>.</w:t>
      </w:r>
    </w:p>
    <w:p>
      <w:r>
        <w:t xml:space="preserve">The N-cycle target KOs were: nitrate reduction — </w:t>
      </w:r>
      <w:r>
        <w:rPr>
          <w:i/>
        </w:rPr>
        <w:t>narG/narH/narI</w:t>
      </w:r>
      <w:r>
        <w:t xml:space="preserve"> (K00370, 820.57 full; K00371, 332.73 full; K00374, 189.37 domain) and </w:t>
      </w:r>
      <w:r>
        <w:rPr>
          <w:i/>
        </w:rPr>
        <w:t>napA/napB</w:t>
      </w:r>
      <w:r>
        <w:t xml:space="preserve"> (K02567, 758.93 full; K02568, 31.83 domain); denitrification NO2→NO — </w:t>
      </w:r>
      <w:r>
        <w:rPr>
          <w:i/>
        </w:rPr>
        <w:t>nirS</w:t>
      </w:r>
      <w:r>
        <w:t xml:space="preserve"> (K15864, 449.73 full) and </w:t>
      </w:r>
      <w:r>
        <w:rPr>
          <w:i/>
        </w:rPr>
        <w:t>nirK</w:t>
      </w:r>
      <w:r>
        <w:t xml:space="preserve"> (K00368, 181.40 full); NO→N2O — </w:t>
      </w:r>
      <w:r>
        <w:rPr>
          <w:i/>
        </w:rPr>
        <w:t>norB</w:t>
      </w:r>
      <w:r>
        <w:t xml:space="preserve"> (K04561, 120.00 full) and </w:t>
      </w:r>
      <w:r>
        <w:rPr>
          <w:i/>
        </w:rPr>
        <w:t>norC</w:t>
      </w:r>
      <w:r>
        <w:t xml:space="preserve"> (K02305, 85.43 domain); N2O→N2 — </w:t>
      </w:r>
      <w:r>
        <w:rPr>
          <w:i/>
        </w:rPr>
        <w:t>nosZ</w:t>
      </w:r>
      <w:r>
        <w:t xml:space="preserve"> (K00376, 441.13 full); and DNRA — </w:t>
      </w:r>
      <w:r>
        <w:rPr>
          <w:i/>
        </w:rPr>
        <w:t>nirB/nirD</w:t>
      </w:r>
      <w:r>
        <w:t xml:space="preserve"> (K00362, 1279.33 domain; K00363, 137.53 domain) and </w:t>
      </w:r>
      <w:r>
        <w:rPr>
          <w:i/>
        </w:rPr>
        <w:t>nrfA/nrfH</w:t>
      </w:r>
      <w:r>
        <w:t xml:space="preserve"> (K03385, 249.47 full; K15876, 110.47 domain). (Of these, only </w:t>
      </w:r>
      <w:r>
        <w:rPr>
          <w:i/>
        </w:rPr>
        <w:t>nirB/D</w:t>
      </w:r>
      <w:r>
        <w:t xml:space="preserve"> appears as a DNRA row in the figures; </w:t>
      </w:r>
      <w:r>
        <w:rPr>
          <w:i/>
        </w:rPr>
        <w:t>nrfA/nrfH</w:t>
      </w:r>
      <w:r>
        <w:t xml:space="preserve"> are listed in </w:t>
      </w:r>
      <w:r>
        <w:rPr>
          <w:b/>
        </w:rPr>
        <w:t>Table 1</w:t>
      </w:r>
      <w:r>
        <w:t xml:space="preserve"> but were not among the figure target subset.)</w:t>
      </w:r>
    </w:p>
    <w:p>
      <w:r>
        <w:rPr>
          <w:b/>
        </w:rPr>
        <w:t>Focal MAG selection.</w:t>
      </w:r>
      <w:r>
        <w:t xml:space="preserve"> High-quality (HQ) MAGs were filtered with CheckM2 to require completeness ≥ 90% and contamination ≤ 5%. Per-sample relative abundances were computed with CoverM (the "unmapped" fraction dropped). For each of the five samples, HQ MAGs were ranked by that sample's relative abundance and the top 10 were taken; the union across all five samples defined the focal set. This union, as committed on disk (</w:t>
      </w:r>
      <w:r>
        <w:rPr>
          <w:rFonts w:ascii="Consolas" w:hAnsi="Consolas"/>
          <w:sz w:val="19"/>
        </w:rPr>
        <w:t>selected_mag_list.txt</w:t>
      </w:r>
      <w:r>
        <w:t xml:space="preserve">, </w:t>
      </w:r>
      <w:r>
        <w:rPr>
          <w:rFonts w:ascii="Consolas" w:hAnsi="Consolas"/>
          <w:sz w:val="19"/>
        </w:rPr>
        <w:t>selected_mags.tsv</w:t>
      </w:r>
      <w:r>
        <w:t xml:space="preserve">), comprised 21 MAGs. </w:t>
      </w:r>
      <w:r>
        <w:rPr>
          <w:b/>
          <w:color w:val="C00000"/>
        </w:rPr>
        <w:t>[Figures 1 and 2 display 19 of these; the two excluded MAGs (CAN_1_bin.174 and CAN_5_bin.90, both *UBA5532*) carry no detected target N-cycle gene. The "19 figure MAGs" therefore correspond to the gene-bearing subset of the 21 selected MAGs. The reduction from 21 selected to 19 drawn is inferred from the figure input file rather than stated explicitly in the repository, so the 21-vs-19 relationship should be confirmed by the author.]</w:t>
      </w:r>
    </w:p>
    <w:p>
      <w:r>
        <w:rPr>
          <w:b/>
        </w:rPr>
        <w:t>GAO/PAO/denitrifier classification.</w:t>
      </w:r>
      <w:r>
        <w:t xml:space="preserve"> Each MAG was classified from genome content using Boolean KO-presence logic recorded in the MAG summary table (not from a genus-keyword lookup). A MAG was labelled a denitrifier if it carried a complete or incomplete denitrification module; a PAO if it met the putative- or stronger-putative-PAO polyphosphate criteria (core polyphosphate gene K00937 or K22468, plus phosphate transport/regulation and PHA modules); and a GAO from glycogen-synthesis/carbon-activation modules with weak or absent polyphosphate. Multiple labels could co-occur (joined with "/", e.g. "Denitrifier/PAO"); MAGs matching none were labelled "Other." Among the 21 focal MAGs, the breakdown was 16 Denitrifier/PAO, 2 Denitrifier (CAN_5_bin.112, CAN_5_bin.70), 1 PAO (CAN_4_bin.116), and 2 Other (CAN_1_bin.174, CAN_5_bin.90). Because the classification is genome-content based, it can diverge from genus-level expectation (e.g. CAN_4_bin.116, genus </w:t>
      </w:r>
      <w:r>
        <w:rPr>
          <w:i/>
        </w:rPr>
        <w:t>Competibacter</w:t>
      </w:r>
      <w:r>
        <w:t>, was classified PAO by content logic).</w:t>
      </w:r>
    </w:p>
    <w:p>
      <w:r>
        <w:rPr>
          <w:b/>
        </w:rPr>
        <w:t>Gene coordinates.</w:t>
      </w:r>
      <w:r>
        <w:t xml:space="preserve"> Genomic coordinates of target genes were taken from Bakta GFF3 CDS records </w:t>
      </w:r>
      <w:r>
        <w:rPr>
          <w:b/>
          <w:color w:val="C00000"/>
        </w:rPr>
        <w:t>[Bakta version undocumented]</w:t>
      </w:r>
      <w:r>
        <w:t xml:space="preserve">, with Bakta-renamed contigs mapped back to the original assembly contig via each MAG's Bakta JSON </w:t>
      </w:r>
      <w:r>
        <w:rPr>
          <w:rFonts w:ascii="Consolas" w:hAnsi="Consolas"/>
          <w:sz w:val="19"/>
        </w:rPr>
        <w:t>orig_id</w:t>
      </w:r>
      <w:r>
        <w:t xml:space="preserve"> field; 1-based GFF3 coordinates were converted to 0-based half-open BED intervals, and contigs were prefixed with the MAG name (</w:t>
      </w:r>
      <w:r>
        <w:rPr>
          <w:rFonts w:ascii="Consolas" w:hAnsi="Consolas"/>
          <w:sz w:val="19"/>
        </w:rPr>
        <w:t>&lt;MAG&gt;::&lt;contig&gt;</w:t>
      </w:r>
      <w:r>
        <w:t xml:space="preserve">) to ensure uniqueness in the combined reference. For the two strict DNRA KOs </w:t>
      </w:r>
      <w:r>
        <w:rPr>
          <w:i/>
        </w:rPr>
        <w:t>nirB/nirD</w:t>
      </w:r>
      <w:r>
        <w:t xml:space="preserve"> (K00362/K00363), the KofamScan threshold was relaxed to 0.55× the official value (because the </w:t>
      </w:r>
      <w:r>
        <w:rPr>
          <w:i/>
        </w:rPr>
        <w:t>nirB</w:t>
      </w:r>
      <w:r>
        <w:t xml:space="preserve"> threshold of 1279.33 is tuned for very high precision), and KofamScan calls were unioned with eggNOG-mapper KO calls (tokens of the form </w:t>
      </w:r>
      <w:r>
        <w:rPr>
          <w:rFonts w:ascii="Consolas" w:hAnsi="Consolas"/>
          <w:sz w:val="19"/>
        </w:rPr>
        <w:t>ko:K#####</w:t>
      </w:r>
      <w:r>
        <w:t xml:space="preserve">) </w:t>
      </w:r>
      <w:r>
        <w:rPr>
          <w:b/>
          <w:color w:val="C00000"/>
        </w:rPr>
        <w:t>[eggNOG-mapper version undocumented]</w:t>
      </w:r>
      <w:r>
        <w:t xml:space="preserve">. The </w:t>
      </w:r>
      <w:r>
        <w:rPr>
          <w:i/>
        </w:rPr>
        <w:t>nar/nap</w:t>
      </w:r>
      <w:r>
        <w:t xml:space="preserve"> KOs (K00370/K00371/K00374/K02567/K02568) were not part of the original nitrogen target subset and were added separately; because the Bakta GFF3 was unavailable locally, their coordinates were re-derived by re-calling each dereplicated genome with pyrodigal (single mode, falling back to meta mode if training failed) and matching the Bakta protein sequence to the pyrodigal ORF (exact match first, then a tolerant C-terminal 30-aa plus length-within-15-aa match). The procedure was validated in-script by re-deriving coordinates of existing BED entries and confirming agreement within 30 bp on the same contig. The final target set comprised 73 gene loci across the focal MAGs (target BED: 73 rows; </w:t>
      </w:r>
      <w:r>
        <w:rPr>
          <w:i/>
        </w:rPr>
        <w:t>nar/nap</w:t>
      </w:r>
      <w:r>
        <w:t xml:space="preserve"> addendum: 21 rows). The per-KO inventory was K00362×9, K00363×1, K00368×2, K00370×3, K00371×3, K00374×2, K00376×13, K02305×4, K02567×6, K02568×6, K04561×11, K15864×13; </w:t>
      </w:r>
      <w:r>
        <w:rPr>
          <w:i/>
        </w:rPr>
        <w:t>nosZ</w:t>
      </w:r>
      <w:r>
        <w:t xml:space="preserve"> (K00376) was present as 13 loci across 13 MAGs.</w:t>
      </w:r>
    </w:p>
    <w:p>
      <w:pPr>
        <w:pStyle w:val="Heading2"/>
      </w:pPr>
      <w:r>
        <w:t>Read mapping and RPKM quantification</w:t>
      </w:r>
    </w:p>
    <w:p>
      <w:r>
        <w:t xml:space="preserve">The committed figure tables were quantified against a 21-MAG focal reference. Per-gene read counts were obtained from pre-existing sorted BAMs of each sample aligned to that focal reference, using </w:t>
      </w:r>
      <w:r>
        <w:rPr>
          <w:rFonts w:ascii="Consolas" w:hAnsi="Consolas"/>
          <w:sz w:val="19"/>
        </w:rPr>
        <w:t>samtools view -c -F 4 BAM contig:start+1-end</w:t>
      </w:r>
      <w:r>
        <w:t xml:space="preserve"> (mapped reads only; the 0-based BED start converted to samtools 1-based coordinates) </w:t>
      </w:r>
      <w:r>
        <w:rPr>
          <w:b/>
          <w:color w:val="C00000"/>
        </w:rPr>
        <w:t>[samtools = pinned snakemake-env binary, version undocumented (Danecek et al. 2021)]</w:t>
      </w:r>
      <w:r>
        <w:t xml:space="preserve">. No MAPQ filter was applied; reads were deduplicated per (read, gene region), so a single read overlapping multiple distinct gene regions was counted once in each. The per-sample denominator (total mapped reads) was the sum of the idxstats mapped column over all references, equal to </w:t>
      </w:r>
      <w:r>
        <w:rPr>
          <w:rFonts w:ascii="Consolas" w:hAnsi="Consolas"/>
          <w:sz w:val="19"/>
        </w:rPr>
        <w:t>samtools flagstat</w:t>
      </w:r>
      <w:r>
        <w:t xml:space="preserve"> mapped: 6,642,991 (CAN_1), 5,048,250 (CAN_2), 7,353,164 (CAN_3), 9,264,689 (CAN_4), and 12,334,538 (CAN_5). These denominators (≈6.64/5.05/7.35/9.26/12.33 M) were confirmed by back-solving committed RPKM cells against the raw counts table.</w:t>
      </w:r>
    </w:p>
    <w:p>
      <w:r>
        <w:rPr>
          <w:b/>
          <w:color w:val="C00000"/>
        </w:rPr>
        <w:t>[Important reproducibility note: the alignment command that produced the committed 21-MAG focal-reference BAMs is not present in the repository. A separate community-reference re-run (`minimap2 -ax map-ont -t 48 --secondary=no -K 2g` (Li 2018) against all 276 MAGs, SAM streamed into a per-gene counter without writing intermediate BAM) is committed, but it produced different per-sample mapped totals (7,739,423 / 5,873,455 / 8,566,696 / 10,243,851 / 13,613,279) and lost an estimated 70–87% of reads on conserved genes; it was therefore *not* the source of the committed figure denominators. The `counts_*.json` files currently in the repository carry these 276-reference totals, so re-running the aggregation now would not reproduce the committed figure denominators. The two reference regimes must be kept distinct.]</w:t>
      </w:r>
    </w:p>
    <w:p>
      <w:r>
        <w:t>RPKM was computed as RPKM = (count / (gene_length_bp / 1000)) / (total_mapped / 10⁶), with gene length defined as max(end − start, 1) bp. Combined (cross-time) RPKM used summed per-sample counts over summed per-sample totals.</w:t>
      </w:r>
    </w:p>
    <w:p>
      <w:r>
        <w:t xml:space="preserve">Each heatmap cell (one KO-group/figure row × one MAG, per sample or combined) was assigned the </w:t>
      </w:r>
      <w:r>
        <w:rPr>
          <w:b/>
        </w:rPr>
        <w:t>maximum</w:t>
      </w:r>
      <w:r>
        <w:t xml:space="preserve"> gene-level RPKM over all genes in that MAG carrying any KO in the row's KO set. The eight figure rows and their KO sets were: </w:t>
      </w:r>
      <w:r>
        <w:rPr>
          <w:i/>
        </w:rPr>
        <w:t>nar</w:t>
      </w:r>
      <w:r>
        <w:t xml:space="preserve"> (K00370/K00371/K00374), </w:t>
      </w:r>
      <w:r>
        <w:rPr>
          <w:i/>
        </w:rPr>
        <w:t>nap</w:t>
      </w:r>
      <w:r>
        <w:t xml:space="preserve"> (K02567/K02568), </w:t>
      </w:r>
      <w:r>
        <w:rPr>
          <w:i/>
        </w:rPr>
        <w:t>nirB/D</w:t>
      </w:r>
      <w:r>
        <w:t xml:space="preserve"> (K00362/K00363), </w:t>
      </w:r>
      <w:r>
        <w:rPr>
          <w:i/>
        </w:rPr>
        <w:t>nirS</w:t>
      </w:r>
      <w:r>
        <w:t xml:space="preserve"> (K15864), </w:t>
      </w:r>
      <w:r>
        <w:rPr>
          <w:i/>
        </w:rPr>
        <w:t>nirK</w:t>
      </w:r>
      <w:r>
        <w:t xml:space="preserve"> (K00368), </w:t>
      </w:r>
      <w:r>
        <w:rPr>
          <w:i/>
        </w:rPr>
        <w:t>norC</w:t>
      </w:r>
      <w:r>
        <w:t xml:space="preserve"> (defined as the max over K02305 </w:t>
      </w:r>
      <w:r>
        <w:rPr>
          <w:i/>
        </w:rPr>
        <w:t>norC</w:t>
      </w:r>
      <w:r>
        <w:t xml:space="preserve"> and K04561 </w:t>
      </w:r>
      <w:r>
        <w:rPr>
          <w:i/>
        </w:rPr>
        <w:t>norB</w:t>
      </w:r>
      <w:r>
        <w:t xml:space="preserve">), and </w:t>
      </w:r>
      <w:r>
        <w:rPr>
          <w:i/>
        </w:rPr>
        <w:t>nosZ</w:t>
      </w:r>
      <w:r>
        <w:t xml:space="preserve"> split into Clade I and Clade II (both K00376, partitioned by the per-gene clade call). For the community over-time line plot (</w:t>
      </w:r>
      <w:r>
        <w:rPr>
          <w:b/>
        </w:rPr>
        <w:t>Figure 2</w:t>
      </w:r>
      <w:r>
        <w:t xml:space="preserve">), each row's value at each time point was the </w:t>
      </w:r>
      <w:r>
        <w:rPr>
          <w:b/>
        </w:rPr>
        <w:t>sum</w:t>
      </w:r>
      <w:r>
        <w:t xml:space="preserve"> (ΣRPKM) of the per-sample RPKM across all MAGs; because RPKM is depth-normalised, these community totals were treated as comparable across the series. The community RPKM-over-time matrix is given in </w:t>
      </w:r>
      <w:r>
        <w:rPr>
          <w:b/>
        </w:rPr>
        <w:t>Table 2</w:t>
      </w:r>
      <w:r>
        <w:t xml:space="preserve">. </w:t>
      </w:r>
      <w:r>
        <w:rPr>
          <w:b/>
          <w:color w:val="C00000"/>
        </w:rPr>
        <w:t>[A documented label artifact: the older non-claded aggregator writes one merged row header as "norBC/nosZ", mixing *norC* (K02305) with *nosZ* (K00376); the claded eight-row figure inputs supersede this and keep *norC* and *nosZ* distinct.]</w:t>
      </w:r>
    </w:p>
    <w:p>
      <w:pPr>
        <w:pStyle w:val="Heading2"/>
      </w:pPr>
      <w:r>
        <w:t>nosZ clade I/II classification</w:t>
      </w:r>
    </w:p>
    <w:p>
      <w:r>
        <w:t>The 13 K00376 (</w:t>
      </w:r>
      <w:r>
        <w:rPr>
          <w:i/>
        </w:rPr>
        <w:t>nosZ</w:t>
      </w:r>
      <w:r>
        <w:t>) loci (one per MAG, across 13 MAGs; CDS lengths 1,869–2,298 bp) were classified into Clade I (typical denitrifier C-NosZ) and Clade II (atypical C-NosZ) by two independent methods.</w:t>
      </w:r>
    </w:p>
    <w:p>
      <w:r>
        <w:rPr>
          <w:b/>
        </w:rPr>
        <w:t>HMM method (adopted for the figures).</w:t>
      </w:r>
      <w:r>
        <w:t xml:space="preserve"> Each </w:t>
      </w:r>
      <w:r>
        <w:rPr>
          <w:i/>
        </w:rPr>
        <w:t>nosZ</w:t>
      </w:r>
      <w:r>
        <w:t xml:space="preserve"> CDS was extracted as a 0-based half-open slice of its parent contig (upper-cased, U→T). Reference nucleotide alignments were taken from the NosZREF set: one Clade I alignment (157 sequences, 254 columns) and seven Clade II sub-clade alignments (1577 A, B, C, D, E, G, H; no F file), totalling 374 Clade II sequences and 531 reference sequences overall. The I/II grouping was an inferred interpretation of file naming and taxon composition, not a curated key. One profile HMM was built per alignment with pyhmmer v0.12.1 (Larralde &amp; Zeller 2023) under default HMMER3 model construction, giving HMM lengths 248/364/373/371/486/367/480/378 for CladeI/II.A/II.B/II.C/II.D/II.E/II.G/II.H. Each gene was scored against all eight HMMs on both strands with nhmmer (Eddy 2011; via pyhmmer), retaining the best bit-score per (HMM, gene). A gene was called Clade I if the Clade-I bit-score ≥ the maximum of the seven Clade-II sub-clade bit-scores, else Clade II. The confidence margin was the Clade-I minus best-Clade-II bit-score; calls with |margin| &lt; 40 bits were flagged low-confidence (and marked with a hollow circle on </w:t>
      </w:r>
      <w:r>
        <w:rPr>
          <w:b/>
        </w:rPr>
        <w:t>Figure 1</w:t>
      </w:r>
      <w:r>
        <w:t xml:space="preserve">). This method assigned 1 Clade I (coasm_bin.55, </w:t>
      </w:r>
      <w:r>
        <w:rPr>
          <w:i/>
        </w:rPr>
        <w:t>Competibacter</w:t>
      </w:r>
      <w:r>
        <w:t>; a low-confidence near-tie, +7.9 bits) and 12 Clade II.</w:t>
      </w:r>
    </w:p>
    <w:p>
      <w:r>
        <w:rPr>
          <w:b/>
        </w:rPr>
        <w:t>Clade-II sub-clade assignment.</w:t>
      </w:r>
      <w:r>
        <w:t xml:space="preserve"> Each Clade-II gene's sub-clade was the 1577 group with the highest bit-score, reported with runner-up and best-minus-runner-up margin (high ≥ 40, medium ≥ 10, low &lt; 10 bits). The sub-clade tally was II.D ×7, II.C ×2, II.G ×2, II.B ×1 (7 high-, 3 medium-, 2 low-confidence calls; the II.B/II.C Bacteroidetes pairs were essentially unresolved).</w:t>
      </w:r>
    </w:p>
    <w:p>
      <w:r>
        <w:rPr>
          <w:b/>
        </w:rPr>
        <w:t>Diamond/taxonomy cross-check.</w:t>
      </w:r>
      <w:r>
        <w:t xml:space="preserve"> The same 13 loci, as proteins, were searched with DIAMOND blastp (Buchfink et al. 2015) against the Orellana et al. (2014) NosZ reference (336 C-NosZ proteins) using </w:t>
      </w:r>
      <w:r>
        <w:rPr>
          <w:rFonts w:ascii="Consolas" w:hAnsi="Consolas"/>
          <w:sz w:val="19"/>
        </w:rPr>
        <w:t>--outfmt 6 --max-target-seqs 5 --evalue 1e-10</w:t>
      </w:r>
      <w:r>
        <w:t xml:space="preserve">. Each query was assigned by majority vote over the genus labels of its top-5 hits against hardcoded Clade-I and Clade-II genus sets (ties = ambiguous; no match = unknown). A CuA/CuZ motif screen was applied (CuA </w:t>
      </w:r>
      <w:r>
        <w:rPr>
          <w:rFonts w:ascii="Consolas" w:hAnsi="Consolas"/>
          <w:sz w:val="19"/>
        </w:rPr>
        <w:t>C.{2}FC.{3}H.EM</w:t>
      </w:r>
      <w:r>
        <w:t xml:space="preserve">; CuZ DXHH </w:t>
      </w:r>
      <w:r>
        <w:rPr>
          <w:rFonts w:ascii="Consolas" w:hAnsi="Consolas"/>
          <w:sz w:val="19"/>
        </w:rPr>
        <w:t>D.HH</w:t>
      </w:r>
      <w:r>
        <w:t xml:space="preserve"> for C-NosZ vs GXHH </w:t>
      </w:r>
      <w:r>
        <w:rPr>
          <w:rFonts w:ascii="Consolas" w:hAnsi="Consolas"/>
          <w:sz w:val="19"/>
        </w:rPr>
        <w:t>G.HH</w:t>
      </w:r>
      <w:r>
        <w:t xml:space="preserve"> for clade-III L-NosZ); all 13 loci carried CuA and DXHH, i.e. all C-NosZ. The final clade was the diamond call where defined, falling back to the prior HMM call for the two "unknown" cases (CAN_5_bin.112, CAN_5_bin.147), whose Bacteroidetes top hits matched no genus in the hardcoded sets. This method assigned 7 Clade I and 6 Clade II; six genes flipped from HMM-Clade II to diamond-Clade I, five of them mapping to HMM sub-clade II.D (</w:t>
      </w:r>
      <w:r>
        <w:rPr>
          <w:i/>
        </w:rPr>
        <w:t>Dechloromonas/Dechlorosoma</w:t>
      </w:r>
      <w:r>
        <w:t>).</w:t>
      </w:r>
    </w:p>
    <w:p>
      <w:r>
        <w:t xml:space="preserve">The two methods therefore disagree (1 vs 7 Clade I). The discrepancy was attributed to the inferred Clade-II label of reference sub-clade II.D, which comprises </w:t>
      </w:r>
      <w:r>
        <w:rPr>
          <w:i/>
        </w:rPr>
        <w:t>Dechloromonas/Dechlorosoma</w:t>
      </w:r>
      <w:r>
        <w:t xml:space="preserve">-type denitrifiers carrying canonical Clade-I </w:t>
      </w:r>
      <w:r>
        <w:rPr>
          <w:i/>
        </w:rPr>
        <w:t>nosZ</w:t>
      </w:r>
      <w:r>
        <w:t xml:space="preserve"> (Sanford et al. 2012; Jones et al. 2013), and to the </w:t>
      </w:r>
      <w:r>
        <w:rPr>
          <w:i/>
        </w:rPr>
        <w:t>Accumulibacter</w:t>
      </w:r>
      <w:r>
        <w:t xml:space="preserve"> "clade IIA" naming trap (a PAO ecotype designation, not a </w:t>
      </w:r>
      <w:r>
        <w:rPr>
          <w:i/>
        </w:rPr>
        <w:t>nosZ</w:t>
      </w:r>
      <w:r>
        <w:t xml:space="preserve"> clade). The Clade-I count is treated as unresolved (between 1 and 7); the figures and </w:t>
      </w:r>
      <w:r>
        <w:rPr>
          <w:b/>
        </w:rPr>
        <w:t>Table 3</w:t>
      </w:r>
      <w:r>
        <w:t xml:space="preserve"> report the HMM call (1 Clade I / 12 Clade II), and this caveat is noted explicitly. </w:t>
      </w:r>
      <w:r>
        <w:rPr>
          <w:b/>
          <w:color w:val="C00000"/>
        </w:rPr>
        <w:t>[No phylogenetic adjudication was performed for the final call, although an alignment and tree (`nosz_aligned.afa`, `nosz_tree.nwk`) were built.]</w:t>
      </w:r>
    </w:p>
    <w:p>
      <w:pPr>
        <w:pStyle w:val="Heading2"/>
      </w:pPr>
      <w:r>
        <w:t>Clade III L-NosZ screen</w:t>
      </w:r>
    </w:p>
    <w:p>
      <w:r>
        <w:t>The 276 dereplicated MAGs were screened for clade-III L-NosZ (lactonase-type N2O reductase), which is divergent from C-NosZ (&lt;35% aa identity) and is not captured by standard K00376 annotation (He et al. 2025). ORFs were called on all 276 genomes with pyrodigal 3.7.1 (Larralde 2022) in meta mode, yielding 935,110 ORFs. These were searched with HMMER hmmsearch against the He "269NosZ" HMM (</w:t>
      </w:r>
      <w:r>
        <w:rPr>
          <w:rFonts w:ascii="Consolas" w:hAnsi="Consolas"/>
          <w:sz w:val="19"/>
        </w:rPr>
        <w:t>He_269NosZ.hmm</w:t>
      </w:r>
      <w:r>
        <w:t xml:space="preserve">, profile length 606, built from the He deduplicated alignment) at E ≤ 1×10⁻¹⁰, returning 180 hits. </w:t>
      </w:r>
      <w:r>
        <w:rPr>
          <w:b/>
          <w:color w:val="C00000"/>
        </w:rPr>
        <w:t>[The committed driver was an earlier 6-frame nucleotide `hmmsearch --dnax` variant that failed; the authoritative result came from the pyrodigal-ORF protein-hmmsearch path. GraftM placement was not run for the bin screen.]</w:t>
      </w:r>
    </w:p>
    <w:p>
      <w:r>
        <w:t xml:space="preserve">On each of the 180 hit ORFs, the He (2025) CuA/CuZ motifs were scored. The CuZ tally was 126 DXHH (C-NosZ), 1 GXHH (L-NosZ candidate), and 53 with no clear CuZ (fragments). The lone GXHH candidate (coasm_bin.312::contig_62613_pilon_70, 201 aa, lacking CuA) was confirmation-screened by DIAMOND blastp against the Orellana C-NosZ reference and matched </w:t>
      </w:r>
      <w:r>
        <w:rPr>
          <w:i/>
        </w:rPr>
        <w:t>Runella</w:t>
      </w:r>
      <w:r>
        <w:t xml:space="preserve"> (Bacteroidota) at 73.7% identity — far above the 35% L-NosZ cutoff — and was therefore a Clade-II C-NosZ fragment false positive. Clade-III L-NosZ was thus not detected in any of the 276 MAGs; the system carries C-NosZ only.</w:t>
      </w:r>
    </w:p>
    <w:p>
      <w:r>
        <w:t>For NO reduction, KofamScan recovered cytochrome-</w:t>
      </w:r>
      <w:r>
        <w:rPr>
          <w:i/>
        </w:rPr>
        <w:t>c nor</w:t>
      </w:r>
      <w:r>
        <w:t xml:space="preserve"> (cNOR </w:t>
      </w:r>
      <w:r>
        <w:rPr>
          <w:i/>
        </w:rPr>
        <w:t>norB</w:t>
      </w:r>
      <w:r>
        <w:t xml:space="preserve">, K04561) in 10 of the 21 selected MAGs (scores 477–1043), which motivated redefining the figure's </w:t>
      </w:r>
      <w:r>
        <w:rPr>
          <w:i/>
        </w:rPr>
        <w:t>norC</w:t>
      </w:r>
      <w:r>
        <w:t xml:space="preserve"> row as max(K02305, K04561) RPKM (raising cNOR coverage from 4 to 10 MAGs). Quinol-dependent NOR (</w:t>
      </w:r>
      <w:r>
        <w:rPr>
          <w:i/>
        </w:rPr>
        <w:t>qNOR/norZ</w:t>
      </w:r>
      <w:r>
        <w:t>, K11188) was completely absent (zero KofamScan or eggNOG hits across the focal MAGs and the larger ~337-MAG dataset), indicating a cNOR-only (</w:t>
      </w:r>
      <w:r>
        <w:rPr>
          <w:i/>
        </w:rPr>
        <w:t>norBC</w:t>
      </w:r>
      <w:r>
        <w:t xml:space="preserve">) system. </w:t>
      </w:r>
      <w:r>
        <w:rPr>
          <w:b/>
          <w:color w:val="C00000"/>
        </w:rPr>
        <w:t>[The ~337-MAG set used for the qNOR absence test is a larger collection than the 276-MAG dereplicated set; the author should clarify its composition.]</w:t>
      </w:r>
    </w:p>
    <w:p>
      <w:pPr>
        <w:pStyle w:val="Heading2"/>
      </w:pPr>
      <w:r>
        <w:t>Figure and data generation</w:t>
      </w:r>
    </w:p>
    <w:p>
      <w:r>
        <w:t xml:space="preserve">All figures were rendered with matplotlib (Agg backend) and numpy (no seaborn). </w:t>
      </w:r>
      <w:r>
        <w:rPr>
          <w:b/>
        </w:rPr>
        <w:t>Figure 1</w:t>
      </w:r>
      <w:r>
        <w:t xml:space="preserve"> is the per-MAG × per-sample denitrification/DNRA gene-abundance heatmap: 8 KO-group rows grouped into 5 N-transformation stages (nitrate reduction NO3→NO2: </w:t>
      </w:r>
      <w:r>
        <w:rPr>
          <w:i/>
        </w:rPr>
        <w:t>nar</w:t>
      </w:r>
      <w:r>
        <w:t xml:space="preserve">, </w:t>
      </w:r>
      <w:r>
        <w:rPr>
          <w:i/>
        </w:rPr>
        <w:t>nap</w:t>
      </w:r>
      <w:r>
        <w:t xml:space="preserve">; DNRA NO2→NH4: </w:t>
      </w:r>
      <w:r>
        <w:rPr>
          <w:i/>
        </w:rPr>
        <w:t>nirB/D</w:t>
      </w:r>
      <w:r>
        <w:t xml:space="preserve">; denitrification NO2→NO: </w:t>
      </w:r>
      <w:r>
        <w:rPr>
          <w:i/>
        </w:rPr>
        <w:t>nirS</w:t>
      </w:r>
      <w:r>
        <w:t xml:space="preserve">, </w:t>
      </w:r>
      <w:r>
        <w:rPr>
          <w:i/>
        </w:rPr>
        <w:t>nirK</w:t>
      </w:r>
      <w:r>
        <w:t xml:space="preserve">; NO→N2O: </w:t>
      </w:r>
      <w:r>
        <w:rPr>
          <w:i/>
        </w:rPr>
        <w:t>norC</w:t>
      </w:r>
      <w:r>
        <w:t xml:space="preserve">; N2O→N2: </w:t>
      </w:r>
      <w:r>
        <w:rPr>
          <w:i/>
        </w:rPr>
        <w:t>nosZ</w:t>
      </w:r>
      <w:r>
        <w:t xml:space="preserve"> Clade I and Clade II), with each MAG column subdivided into five sample sub-columns (CAN_1→CAN_5, left→right). Cell colour encoded log₁₀(RPKM + 1) on a custom sequential aliceblue→navy colormap, with zero/empty cells in light grey (#E8E8E8), a top category bar coloured by the GAO/PAO/denitrifier classification, and columns sorted by category priority then descending summed relative abundance; low-confidence </w:t>
      </w:r>
      <w:r>
        <w:rPr>
          <w:i/>
        </w:rPr>
        <w:t>nosZ</w:t>
      </w:r>
      <w:r>
        <w:t xml:space="preserve"> clade calls were marked with hollow circles. </w:t>
      </w:r>
      <w:r>
        <w:rPr>
          <w:b/>
        </w:rPr>
        <w:t>Figure 2</w:t>
      </w:r>
      <w:r>
        <w:t xml:space="preserve"> is the companion community gene-abundance-over-time line plot (ΣRPKM per row vs sample index, log y-axis; first gene per stage solid/circle, second dashed/square), with the underlying spreadsheet carrying per-row CAN_1–CAN_5 values plus mean, max, and the number of MAGs present. Both figures were written at 200 dpi as PNG and PDF.</w:t>
      </w:r>
    </w:p>
    <w:p>
      <w:r>
        <w:t xml:space="preserve">Two complementary copy-number views were also generated as supporting tables: a reference-independent genomic inventory (distinct loci per MAG/KO from the target BED, with </w:t>
      </w:r>
      <w:r>
        <w:rPr>
          <w:i/>
        </w:rPr>
        <w:t>nosZ</w:t>
      </w:r>
      <w:r>
        <w:t xml:space="preserve"> split by clade) and a read-based estimate (gene depth normalised by whole-genome coverage). The read-based view merges </w:t>
      </w:r>
      <w:r>
        <w:rPr>
          <w:i/>
        </w:rPr>
        <w:t>norB/norC/nosZ</w:t>
      </w:r>
      <w:r>
        <w:t xml:space="preserve"> into a single "norBC/nosZ" row, so its values &gt;1 partly reflect multiple distinct loci rather than amplification per se, and the whole-genome coverage term is an explicit reads-per-bp proxy (read length not incorporated). All raw target intervals, RPKM matrices, clade assignments (</w:t>
      </w:r>
      <w:r>
        <w:rPr>
          <w:b/>
        </w:rPr>
        <w:t>Table 3</w:t>
      </w:r>
      <w:r>
        <w:t>), and the community over-time matrix (</w:t>
      </w:r>
      <w:r>
        <w:rPr>
          <w:b/>
        </w:rPr>
        <w:t>Table 2</w:t>
      </w:r>
      <w:r>
        <w:t>) are provided as committed data tables.</w:t>
      </w:r>
    </w:p>
    <w:p>
      <w:r>
        <w:br w:type="page"/>
      </w:r>
    </w:p>
    <w:p>
      <w:pPr>
        <w:pStyle w:val="Heading1"/>
      </w:pPr>
      <w:r>
        <w:t>Results</w:t>
      </w:r>
    </w:p>
    <w:p>
      <w:pPr>
        <w:pStyle w:val="Heading2"/>
      </w:pPr>
      <w:r>
        <w:t>MAG-resolved denitrification and DNRA gene inventory across the focal community</w:t>
      </w:r>
    </w:p>
    <w:p>
      <w:r>
        <w:t xml:space="preserve">From the 276 dereplicated MAGs recovered across the five-point CAN-system Nanopore metagenome time series (CAN_1–CAN_5), a focal set of 21 MAGs was selected as the union of the ten most abundant HQ MAGs (CheckM2 completeness ≥ 90%, contamination ≤ 5%) per sample, ranked by CoverM relative abundance. Of these, 19 carried at least one detected target nitrogen-cycle gene and are displayed in </w:t>
      </w:r>
      <w:r>
        <w:rPr>
          <w:b/>
        </w:rPr>
        <w:t>Figure 1</w:t>
      </w:r>
      <w:r>
        <w:t xml:space="preserve">; the remaining two (CAN_1_bin.174 and CAN_5_bin.90, both </w:t>
      </w:r>
      <w:r>
        <w:rPr>
          <w:i/>
        </w:rPr>
        <w:t>UBA5532</w:t>
      </w:r>
      <w:r>
        <w:t xml:space="preserve">) carried no detectable denitrification or DNRA gene. By genome-content KO logic, the 21 focal MAGs were classified as 16 Denitrifier/PAO, 2 Denitrifier (CAN_5_bin.112, CAN_5_bin.70), 1 PAO (CAN_4_bin.116, a </w:t>
      </w:r>
      <w:r>
        <w:rPr>
          <w:i/>
        </w:rPr>
        <w:t>Competibacter</w:t>
      </w:r>
      <w:r>
        <w:t>-genus MAG classified PAO by content), and 2 Other.</w:t>
      </w:r>
    </w:p>
    <w:p>
      <w:r>
        <w:t>Across the 21 focal MAGs, the curated 42-KO panel (KofamScan adaptive thresholds, cross-checked against eggNOG-mapper) yielded 73 distinct target gene loci. The per-KO genomic inventory (</w:t>
      </w:r>
      <w:r>
        <w:rPr>
          <w:b/>
        </w:rPr>
        <w:t>Figure 1</w:t>
      </w:r>
      <w:r>
        <w:t xml:space="preserve">; </w:t>
      </w:r>
      <w:r>
        <w:rPr>
          <w:b/>
        </w:rPr>
        <w:t>Table 1</w:t>
      </w:r>
      <w:r>
        <w:t xml:space="preserve">) totalled: </w:t>
      </w:r>
      <w:r>
        <w:rPr>
          <w:i/>
        </w:rPr>
        <w:t>narG</w:t>
      </w:r>
      <w:r>
        <w:t xml:space="preserve"> (K00370) 3, </w:t>
      </w:r>
      <w:r>
        <w:rPr>
          <w:i/>
        </w:rPr>
        <w:t>narH</w:t>
      </w:r>
      <w:r>
        <w:t xml:space="preserve"> (K00371) 3, </w:t>
      </w:r>
      <w:r>
        <w:rPr>
          <w:i/>
        </w:rPr>
        <w:t>narI</w:t>
      </w:r>
      <w:r>
        <w:t xml:space="preserve"> (K00374) 2, </w:t>
      </w:r>
      <w:r>
        <w:rPr>
          <w:i/>
        </w:rPr>
        <w:t>napA</w:t>
      </w:r>
      <w:r>
        <w:t xml:space="preserve"> (K02567) 6, </w:t>
      </w:r>
      <w:r>
        <w:rPr>
          <w:i/>
        </w:rPr>
        <w:t>napB</w:t>
      </w:r>
      <w:r>
        <w:t xml:space="preserve"> (K02568) 6, </w:t>
      </w:r>
      <w:r>
        <w:rPr>
          <w:i/>
        </w:rPr>
        <w:t>nirB</w:t>
      </w:r>
      <w:r>
        <w:t xml:space="preserve"> (K00362) 9, </w:t>
      </w:r>
      <w:r>
        <w:rPr>
          <w:i/>
        </w:rPr>
        <w:t>nirD</w:t>
      </w:r>
      <w:r>
        <w:t xml:space="preserve"> (K00363) 1, </w:t>
      </w:r>
      <w:r>
        <w:rPr>
          <w:i/>
        </w:rPr>
        <w:t>nirS</w:t>
      </w:r>
      <w:r>
        <w:t xml:space="preserve"> (K15864) 13, </w:t>
      </w:r>
      <w:r>
        <w:rPr>
          <w:i/>
        </w:rPr>
        <w:t>nirK</w:t>
      </w:r>
      <w:r>
        <w:t xml:space="preserve"> (K00368) 2, </w:t>
      </w:r>
      <w:r>
        <w:rPr>
          <w:i/>
        </w:rPr>
        <w:t>norB</w:t>
      </w:r>
      <w:r>
        <w:t xml:space="preserve"> (K04561) 11, </w:t>
      </w:r>
      <w:r>
        <w:rPr>
          <w:i/>
        </w:rPr>
        <w:t>norC</w:t>
      </w:r>
      <w:r>
        <w:t xml:space="preserve"> (K02305) 4, and </w:t>
      </w:r>
      <w:r>
        <w:rPr>
          <w:i/>
        </w:rPr>
        <w:t>nosZ</w:t>
      </w:r>
      <w:r>
        <w:t xml:space="preserve"> (K00376) 13.</w:t>
      </w:r>
    </w:p>
    <w:p>
      <w:r>
        <w:t>The membrane-bound nitrate reductase operon (</w:t>
      </w:r>
      <w:r>
        <w:rPr>
          <w:i/>
        </w:rPr>
        <w:t>narGHI</w:t>
      </w:r>
      <w:r>
        <w:t xml:space="preserve">) was rare: a complete </w:t>
      </w:r>
      <w:r>
        <w:rPr>
          <w:i/>
        </w:rPr>
        <w:t>narGHI</w:t>
      </w:r>
      <w:r>
        <w:t xml:space="preserve"> was recovered only in CAN_5_bin.40 (</w:t>
      </w:r>
      <w:r>
        <w:rPr>
          <w:i/>
        </w:rPr>
        <w:t>Giesbergeria</w:t>
      </w:r>
      <w:r>
        <w:t>) and coasm_bin.55 (</w:t>
      </w:r>
      <w:r>
        <w:rPr>
          <w:i/>
        </w:rPr>
        <w:t>Ca.</w:t>
      </w:r>
      <w:r>
        <w:t xml:space="preserve"> Competibacter.51), with a partial </w:t>
      </w:r>
      <w:r>
        <w:rPr>
          <w:i/>
        </w:rPr>
        <w:t>narGH</w:t>
      </w:r>
      <w:r>
        <w:t xml:space="preserve"> in CAN_5_bin.106 (</w:t>
      </w:r>
      <w:r>
        <w:rPr>
          <w:i/>
        </w:rPr>
        <w:t>Ca.</w:t>
      </w:r>
      <w:r>
        <w:t xml:space="preserve"> Competibacter.139). Periplasmic nitrate reduction (</w:t>
      </w:r>
      <w:r>
        <w:rPr>
          <w:i/>
        </w:rPr>
        <w:t>napAB</w:t>
      </w:r>
      <w:r>
        <w:t xml:space="preserve">) was more widespread among the denitrifiers (six MAGs each for </w:t>
      </w:r>
      <w:r>
        <w:rPr>
          <w:i/>
        </w:rPr>
        <w:t>napA</w:t>
      </w:r>
      <w:r>
        <w:t xml:space="preserve"> and </w:t>
      </w:r>
      <w:r>
        <w:rPr>
          <w:i/>
        </w:rPr>
        <w:t>napB</w:t>
      </w:r>
      <w:r>
        <w:t xml:space="preserve">). </w:t>
      </w:r>
      <w:r>
        <w:rPr>
          <w:i/>
        </w:rPr>
        <w:t>nirS</w:t>
      </w:r>
      <w:r>
        <w:t xml:space="preserve"> (cd1 nitrite reductase; 13 loci across 9 MAGs) far outnumbered </w:t>
      </w:r>
      <w:r>
        <w:rPr>
          <w:i/>
        </w:rPr>
        <w:t>nirK</w:t>
      </w:r>
      <w:r>
        <w:t xml:space="preserve"> (Cu-type; 2 loci in 2 MAGs). The two </w:t>
      </w:r>
      <w:r>
        <w:rPr>
          <w:i/>
        </w:rPr>
        <w:t>Ca.</w:t>
      </w:r>
      <w:r>
        <w:t xml:space="preserve"> Accumulibacter PAO MAGs (CAN_1_bin.98, coasm_bin.185) carried </w:t>
      </w:r>
      <w:r>
        <w:rPr>
          <w:i/>
        </w:rPr>
        <w:t>napAB</w:t>
      </w:r>
      <w:r>
        <w:t xml:space="preserve"> + </w:t>
      </w:r>
      <w:r>
        <w:rPr>
          <w:i/>
        </w:rPr>
        <w:t>nirB</w:t>
      </w:r>
      <w:r>
        <w:t xml:space="preserve"> + two </w:t>
      </w:r>
      <w:r>
        <w:rPr>
          <w:i/>
        </w:rPr>
        <w:t>nirS</w:t>
      </w:r>
      <w:r>
        <w:t xml:space="preserve"> copies + </w:t>
      </w:r>
      <w:r>
        <w:rPr>
          <w:i/>
        </w:rPr>
        <w:t>nosZ</w:t>
      </w:r>
      <w:r>
        <w:t xml:space="preserve"> but no </w:t>
      </w:r>
      <w:r>
        <w:rPr>
          <w:i/>
        </w:rPr>
        <w:t>nar</w:t>
      </w:r>
      <w:r>
        <w:t>, representing PAOs with partial denitrification capacity. The genomically richest denitrifiers were CAN_5_bin.40 (</w:t>
      </w:r>
      <w:r>
        <w:rPr>
          <w:i/>
        </w:rPr>
        <w:t>Giesbergeria</w:t>
      </w:r>
      <w:r>
        <w:t xml:space="preserve">; 9 loci: full </w:t>
      </w:r>
      <w:r>
        <w:rPr>
          <w:i/>
        </w:rPr>
        <w:t>narGHI</w:t>
      </w:r>
      <w:r>
        <w:t xml:space="preserve"> + </w:t>
      </w:r>
      <w:r>
        <w:rPr>
          <w:i/>
        </w:rPr>
        <w:t>nirB</w:t>
      </w:r>
      <w:r>
        <w:t xml:space="preserve"> + </w:t>
      </w:r>
      <w:r>
        <w:rPr>
          <w:i/>
        </w:rPr>
        <w:t>nirS</w:t>
      </w:r>
      <w:r>
        <w:t xml:space="preserve"> + two </w:t>
      </w:r>
      <w:r>
        <w:rPr>
          <w:i/>
        </w:rPr>
        <w:t>norB</w:t>
      </w:r>
      <w:r>
        <w:t xml:space="preserve"> + </w:t>
      </w:r>
      <w:r>
        <w:rPr>
          <w:i/>
        </w:rPr>
        <w:t>norC</w:t>
      </w:r>
      <w:r>
        <w:t xml:space="preserve"> + one Clade-II.G </w:t>
      </w:r>
      <w:r>
        <w:rPr>
          <w:i/>
        </w:rPr>
        <w:t>nosZ</w:t>
      </w:r>
      <w:r>
        <w:t>) and coasm_bin.55 (</w:t>
      </w:r>
      <w:r>
        <w:rPr>
          <w:i/>
        </w:rPr>
        <w:t>Competibacter</w:t>
      </w:r>
      <w:r>
        <w:t xml:space="preserve">; 8 loci: </w:t>
      </w:r>
      <w:r>
        <w:rPr>
          <w:i/>
        </w:rPr>
        <w:t>narGHI</w:t>
      </w:r>
      <w:r>
        <w:t xml:space="preserve"> + </w:t>
      </w:r>
      <w:r>
        <w:rPr>
          <w:i/>
        </w:rPr>
        <w:t>nirB</w:t>
      </w:r>
      <w:r>
        <w:t xml:space="preserve"> + </w:t>
      </w:r>
      <w:r>
        <w:rPr>
          <w:i/>
        </w:rPr>
        <w:t>nirS</w:t>
      </w:r>
      <w:r>
        <w:t xml:space="preserve"> + </w:t>
      </w:r>
      <w:r>
        <w:rPr>
          <w:i/>
        </w:rPr>
        <w:t>norB</w:t>
      </w:r>
      <w:r>
        <w:t xml:space="preserve"> + </w:t>
      </w:r>
      <w:r>
        <w:rPr>
          <w:i/>
        </w:rPr>
        <w:t>norC</w:t>
      </w:r>
      <w:r>
        <w:t xml:space="preserve"> + one Clade-I </w:t>
      </w:r>
      <w:r>
        <w:rPr>
          <w:i/>
        </w:rPr>
        <w:t>nosZ</w:t>
      </w:r>
      <w:r>
        <w:t>).</w:t>
      </w:r>
    </w:p>
    <w:p>
      <w:pPr>
        <w:pStyle w:val="Heading2"/>
      </w:pPr>
      <w:r>
        <w:t>cNOR-only architecture: norB recovery and qNOR absence</w:t>
      </w:r>
    </w:p>
    <w:p>
      <w:r>
        <w:t>KofamScan annotation identified cytochrome-</w:t>
      </w:r>
      <w:r>
        <w:rPr>
          <w:i/>
        </w:rPr>
        <w:t>c</w:t>
      </w:r>
      <w:r>
        <w:t xml:space="preserve"> nitric oxide reductase subunit </w:t>
      </w:r>
      <w:r>
        <w:rPr>
          <w:i/>
        </w:rPr>
        <w:t>norB</w:t>
      </w:r>
      <w:r>
        <w:t xml:space="preserve"> (cNOR, K04561) in 10 of the 21 focal MAGs (scores 477–1043), exceeding the four MAGs recovered for </w:t>
      </w:r>
      <w:r>
        <w:rPr>
          <w:i/>
        </w:rPr>
        <w:t>norC</w:t>
      </w:r>
      <w:r>
        <w:t xml:space="preserve"> (K02305) alone. The figure's NO→N2O ("norC") row was accordingly redefined as the maximum RPKM over </w:t>
      </w:r>
      <w:r>
        <w:rPr>
          <w:i/>
        </w:rPr>
        <w:t>norC</w:t>
      </w:r>
      <w:r>
        <w:t xml:space="preserve"> (K02305) and </w:t>
      </w:r>
      <w:r>
        <w:rPr>
          <w:i/>
        </w:rPr>
        <w:t>norB</w:t>
      </w:r>
      <w:r>
        <w:t xml:space="preserve"> (K04561), raising cNOR representation from four to ten MAGs. The quinol-dependent nitric oxide reductase </w:t>
      </w:r>
      <w:r>
        <w:rPr>
          <w:i/>
        </w:rPr>
        <w:t>qNOR/norZ</w:t>
      </w:r>
      <w:r>
        <w:t xml:space="preserve"> (K11188) was completely absent: zero hits in either KofamScan or eggNOG across the 21 focal MAGs and the larger ~337-MAG dataset. The community therefore encodes NO reduction exclusively via cytochrome cNOR (</w:t>
      </w:r>
      <w:r>
        <w:rPr>
          <w:i/>
        </w:rPr>
        <w:t>norBC</w:t>
      </w:r>
      <w:r>
        <w:t>), with no quinol-dependent NOR.</w:t>
      </w:r>
    </w:p>
    <w:p>
      <w:pPr>
        <w:pStyle w:val="Heading2"/>
      </w:pPr>
      <w:r>
        <w:t>Community gene abundance over the CAN time series</w:t>
      </w:r>
    </w:p>
    <w:p>
      <w:r>
        <w:t>Community-total gene abundance was computed as the sum of per-MAG RPKM (ΣRPKM) per KO-group row across the five samples (</w:t>
      </w:r>
      <w:r>
        <w:rPr>
          <w:b/>
        </w:rPr>
        <w:t>Figure 2</w:t>
      </w:r>
      <w:r>
        <w:t xml:space="preserve">; </w:t>
      </w:r>
      <w:r>
        <w:rPr>
          <w:b/>
        </w:rPr>
        <w:t>Table 2</w:t>
      </w:r>
      <w:r>
        <w:t>), using the 21-MAG focal-reference per-sample denominators (6.64M, 5.05M, 7.35M, 9.26M, 12.33M for CAN_1–CAN_5).</w:t>
      </w:r>
    </w:p>
    <w:p>
      <w:r>
        <w:t>The NO→N2O reduction row (</w:t>
      </w:r>
      <w:r>
        <w:rPr>
          <w:i/>
        </w:rPr>
        <w:t>norC/norB</w:t>
      </w:r>
      <w:r>
        <w:t>) was the dominant signal at every time point, peaking at CAN_3 before declining roughly two-fold: 1122.18, 1266.22, 1315.85, 621.03, 567.46 ΣRPKM (CAN_1–CAN_5; 10 MAGs). Cu-type nitrite reduction (</w:t>
      </w:r>
      <w:r>
        <w:rPr>
          <w:i/>
        </w:rPr>
        <w:t>nirK</w:t>
      </w:r>
      <w:r>
        <w:t>) peaked at CAN_3 and then collapsed ~28-fold from 74.56 to 2.70 (50.82, 68.48, 74.56, 17.94, 2.70; 2 MAGs), whereas cd1 nitrite reduction (</w:t>
      </w:r>
      <w:r>
        <w:rPr>
          <w:i/>
        </w:rPr>
        <w:t>nirS</w:t>
      </w:r>
      <w:r>
        <w:t>) rose early and plateaued near 300 (245.01, 303.80, 305.40, 308.17, 294.40; 9 MAGs).</w:t>
      </w:r>
    </w:p>
    <w:p>
      <w:r>
        <w:t xml:space="preserve">Among the nitrate-reduction rows, periplasmic </w:t>
      </w:r>
      <w:r>
        <w:rPr>
          <w:i/>
        </w:rPr>
        <w:t>nap</w:t>
      </w:r>
      <w:r>
        <w:t xml:space="preserve"> rose monotonically by ~53% (354.88, 416.34, 413.88, 472.79, 544.52; 6 MAGs), while membrane-bound </w:t>
      </w:r>
      <w:r>
        <w:rPr>
          <w:i/>
        </w:rPr>
        <w:t>nar</w:t>
      </w:r>
      <w:r>
        <w:t xml:space="preserve"> was roughly flat through CAN_3 and then declined ~2.8-fold (345.20, 355.29, 367.48, 207.79, 130.29; 3 MAGs). DNRA nitrite reduction (</w:t>
      </w:r>
      <w:r>
        <w:rPr>
          <w:i/>
        </w:rPr>
        <w:t>nirB/D</w:t>
      </w:r>
      <w:r>
        <w:t>) declined gradually across the series (440.58, 432.89, 432.37, 400.27, 305.70; 10 MAGs).</w:t>
      </w:r>
    </w:p>
    <w:p>
      <w:r>
        <w:t xml:space="preserve">The terminal N2O→N2 step diverged by clade. </w:t>
      </w:r>
      <w:r>
        <w:rPr>
          <w:i/>
        </w:rPr>
        <w:t>nosZ</w:t>
      </w:r>
      <w:r>
        <w:t xml:space="preserve"> Clade II rose late, from ~230 to 317.66 (231.58, 228.61, 229.70, 300.30, 317.66; 12 MAGs). </w:t>
      </w:r>
      <w:r>
        <w:rPr>
          <w:i/>
        </w:rPr>
        <w:t>nosZ</w:t>
      </w:r>
      <w:r>
        <w:t xml:space="preserve"> Clade I was low early and rose ~6-fold at CAN_4–CAN_5 (4.99, 6.87, 5.91, 35.25, 29.96), driven entirely by the single Clade-I MAG coasm_bin.55 (</w:t>
      </w:r>
      <w:r>
        <w:rPr>
          <w:i/>
        </w:rPr>
        <w:t>Ca.</w:t>
      </w:r>
      <w:r>
        <w:t xml:space="preserve"> Competibacter.51). The later time points (CAN_4–CAN_5) thus showed declining </w:t>
      </w:r>
      <w:r>
        <w:rPr>
          <w:i/>
        </w:rPr>
        <w:t>nar</w:t>
      </w:r>
      <w:r>
        <w:t xml:space="preserve">, </w:t>
      </w:r>
      <w:r>
        <w:rPr>
          <w:i/>
        </w:rPr>
        <w:t>nirK</w:t>
      </w:r>
      <w:r>
        <w:t xml:space="preserve">, </w:t>
      </w:r>
      <w:r>
        <w:rPr>
          <w:i/>
        </w:rPr>
        <w:t>norC/norB</w:t>
      </w:r>
      <w:r>
        <w:t xml:space="preserve">, and </w:t>
      </w:r>
      <w:r>
        <w:rPr>
          <w:i/>
        </w:rPr>
        <w:t>nirB/D</w:t>
      </w:r>
      <w:r>
        <w:t xml:space="preserve"> alongside rising </w:t>
      </w:r>
      <w:r>
        <w:rPr>
          <w:i/>
        </w:rPr>
        <w:t>nap</w:t>
      </w:r>
      <w:r>
        <w:t xml:space="preserve">, </w:t>
      </w:r>
      <w:r>
        <w:rPr>
          <w:i/>
        </w:rPr>
        <w:t>nosZ</w:t>
      </w:r>
      <w:r>
        <w:t xml:space="preserve"> Clade I, and </w:t>
      </w:r>
      <w:r>
        <w:rPr>
          <w:i/>
        </w:rPr>
        <w:t>nosZ</w:t>
      </w:r>
      <w:r>
        <w:t xml:space="preserve"> Clade II.</w:t>
      </w:r>
    </w:p>
    <w:p>
      <w:pPr>
        <w:pStyle w:val="Heading2"/>
      </w:pPr>
      <w:r>
        <w:t>nosZ Clade I/II assignment and the HMM-versus-diamond disagreement</w:t>
      </w:r>
    </w:p>
    <w:p>
      <w:r>
        <w:t xml:space="preserve">The 13 </w:t>
      </w:r>
      <w:r>
        <w:rPr>
          <w:i/>
        </w:rPr>
        <w:t>nosZ</w:t>
      </w:r>
      <w:r>
        <w:t xml:space="preserve"> (K00376) genes — one per MAG across 13 MAGs, CDS lengths 1869–2298 bp — were classified by two independent methods that disagreed on the Clade I count (</w:t>
      </w:r>
      <w:r>
        <w:rPr>
          <w:b/>
        </w:rPr>
        <w:t>Table 3</w:t>
      </w:r>
      <w:r>
        <w:t>). The HMM method adopted for the figure scored each gene's CDS by nucleotide nhmmer (HMMER3 via pyhmmer v0.12.1) against eight reference profiles built from the NosZREF alignments (Clade I, 157 sequences; seven Clade-II sub-clade profiles 1577 A,B,C,D,E,G,H, 374 sequences; 531 total), calling Clade I when the Clade-I bit-score ≥ the maximum Clade-II sub-clade score. This yielded 1 Clade I / 12 Clade II. The sole Clade-I call was coasm_bin.55 (</w:t>
      </w:r>
      <w:r>
        <w:rPr>
          <w:i/>
        </w:rPr>
        <w:t>Competibacter</w:t>
      </w:r>
      <w:r>
        <w:t>), itself low-confidence (Clade-I 195.4 vs Clade-II.G 187.5; margin only +7.9 bits); the 12 Clade-II calls were high-confidence (margins −195 to −366 bits) except CAN_5_bin.40 (</w:t>
      </w:r>
      <w:r>
        <w:rPr>
          <w:i/>
        </w:rPr>
        <w:t>Giesbergeria</w:t>
      </w:r>
      <w:r>
        <w:t>; II.G, margin −24.2). Clade-II sub-clade tally was II.D 7, II.C 2, II.G 2, II.B 1.</w:t>
      </w:r>
    </w:p>
    <w:p>
      <w:r>
        <w:t xml:space="preserve">The diamond blastp method (queries vs the Orellana 336-protein reference; --max-target-seqs 5, --evalue 1e-10, majority vote over top-5 hits) instead yielded 7 Clade I / 6 Clade II. Seven genes agreed between methods (coasm_bin.55 as Clade I; CAN_1_bin.77, CAN_3_bin.221, CAN_5_bin.112, CAN_5_bin.147, coasm_bin.260, coasm_bin.481 as Clade II), although CAN_5_bin.112 and CAN_5_bin.147 agreed only via fallback to the prior HMM call (their diamond result was "unknown"). Six genes flipped from HMM-Clade II to diamond-Clade I: CAN_1_bin.98 and coasm_bin.185 (both </w:t>
      </w:r>
      <w:r>
        <w:rPr>
          <w:i/>
        </w:rPr>
        <w:t>Ca.</w:t>
      </w:r>
      <w:r>
        <w:t xml:space="preserve"> Accumulibacter; 92.0% and 90.6% identity to </w:t>
      </w:r>
      <w:r>
        <w:rPr>
          <w:i/>
        </w:rPr>
        <w:t>Ca.</w:t>
      </w:r>
      <w:r>
        <w:t xml:space="preserve"> Accumulibacter phosphatis clade IIA UW-1), CAN_2_bin.6 (</w:t>
      </w:r>
      <w:r>
        <w:rPr>
          <w:i/>
        </w:rPr>
        <w:t>Desulfobacillus</w:t>
      </w:r>
      <w:r>
        <w:t xml:space="preserve">; 86.4% to </w:t>
      </w:r>
      <w:r>
        <w:rPr>
          <w:i/>
        </w:rPr>
        <w:t>Dechloromonas aromatica</w:t>
      </w:r>
      <w:r>
        <w:t xml:space="preserve"> RCB), CAN_5_bin.70 (</w:t>
      </w:r>
      <w:r>
        <w:rPr>
          <w:i/>
        </w:rPr>
        <w:t>Azonexus</w:t>
      </w:r>
      <w:r>
        <w:t xml:space="preserve">; 90.5% to </w:t>
      </w:r>
      <w:r>
        <w:rPr>
          <w:i/>
        </w:rPr>
        <w:t>D. aromatica</w:t>
      </w:r>
      <w:r>
        <w:t xml:space="preserve"> RCB), CAN_3_bin.203 (</w:t>
      </w:r>
      <w:r>
        <w:rPr>
          <w:i/>
        </w:rPr>
        <w:t>JAEULV01</w:t>
      </w:r>
      <w:r>
        <w:t xml:space="preserve">; 70.4% to </w:t>
      </w:r>
      <w:r>
        <w:rPr>
          <w:i/>
        </w:rPr>
        <w:t>Magnetospirillum magneticum</w:t>
      </w:r>
      <w:r>
        <w:t>), and CAN_5_bin.40 (</w:t>
      </w:r>
      <w:r>
        <w:rPr>
          <w:i/>
        </w:rPr>
        <w:t>Giesbergeria</w:t>
      </w:r>
      <w:r>
        <w:t xml:space="preserve">; 86.8% to </w:t>
      </w:r>
      <w:r>
        <w:rPr>
          <w:i/>
        </w:rPr>
        <w:t>Alicycliphilus denitrificans</w:t>
      </w:r>
      <w:r>
        <w:t xml:space="preserve">). Five of these six flips had HMM best-subclade II.D (the </w:t>
      </w:r>
      <w:r>
        <w:rPr>
          <w:i/>
        </w:rPr>
        <w:t>Dechloromonas/Dechlorosoma</w:t>
      </w:r>
      <w:r>
        <w:t xml:space="preserve"> reference, NosZREF-1577D); the sixth was the lone low-confidence II.G call. A CuA/CuZ motif screen of all 13 genes returned CuA present and the DXHH motif (C-NosZ) in every case, with none assigned to clade III. The Clade-I count therefore remains method-dependent (1 vs 7); the figure and </w:t>
      </w:r>
      <w:r>
        <w:rPr>
          <w:b/>
        </w:rPr>
        <w:t>Table 3</w:t>
      </w:r>
      <w:r>
        <w:t xml:space="preserve"> adopt the HMM call (1 Clade I / 12 Clade II).</w:t>
      </w:r>
    </w:p>
    <w:p>
      <w:pPr>
        <w:pStyle w:val="Heading2"/>
      </w:pPr>
      <w:r>
        <w:t>Clade III L-NosZ screen across all dereplicated MAGs</w:t>
      </w:r>
    </w:p>
    <w:p>
      <w:r>
        <w:t>To test for the lactonase-type N2O reductase (L-NosZ, clade III; not captured by K00376), all 276 dereplicated MAGs were ORF-called with pyrodigal 3.7.1 in meta mode (935,110 ORFs) and searched with the He 269NosZ HMM (profile length 606) by hmmsearch at E ≤ 1e-10, returning 180 hits across 180 unique ORFs. CuZ-motif scoring of the 180 hit ORFs gave 126 DXHH (C-NosZ, clade I/II), 1 GXHH (L-NosZ candidate), and 53 with no clear CuZ (fragments); 122 of 180 ORFs carried the CuA motif.</w:t>
      </w:r>
    </w:p>
    <w:p>
      <w:r>
        <w:t xml:space="preserve">The single GXHH candidate (coasm_bin.312::contig_62613_pilon_70, 201 aa) lacked the CuA motif, indicating a truncated ORF. Diamond blastp against the Orellana C-NosZ reference returned 73.7% identity to </w:t>
      </w:r>
      <w:r>
        <w:rPr>
          <w:i/>
        </w:rPr>
        <w:t>Runella</w:t>
      </w:r>
      <w:r>
        <w:t xml:space="preserve"> (Bacteroidota, clade II) — far above the &lt;35% threshold for a genuine L-NosZ — identifying it as a clade-II C-NosZ fragment false positive; adjacent ORFs on the same contig corresponded to additional fragments of the same </w:t>
      </w:r>
      <w:r>
        <w:rPr>
          <w:i/>
        </w:rPr>
        <w:t>nosZ</w:t>
      </w:r>
      <w:r>
        <w:t xml:space="preserve"> gene. No confirmed L-NosZ was recovered. Clade III L-NosZ was therefore not detected in any of the 276 dereplicated MAGs; all 180 N2O-reductase hits were C-NosZ (clade I/II).</w:t>
      </w:r>
    </w:p>
    <w:p>
      <w:r>
        <w:br w:type="page"/>
      </w:r>
    </w:p>
    <w:p>
      <w:pPr>
        <w:pStyle w:val="Heading1"/>
      </w:pPr>
      <w:r>
        <w:t>Discussion</w:t>
      </w:r>
    </w:p>
    <w:p>
      <w:pPr>
        <w:pStyle w:val="Heading2"/>
      </w:pPr>
      <w:r>
        <w:t>Functional and temporal structure of nitrogen removal in the CAN system</w:t>
      </w:r>
    </w:p>
    <w:p>
      <w:r>
        <w:t xml:space="preserve">The MAG-resolved gene inventory and the five-point temporal series together constrain how nitrogen was processed across the CAN time series, pointing to a community in which dissimilatory nitrate reduction was partitioned between competing fates rather than dominated by a single pathway. The two nitrate-reduction modules behaved divergently over time: community-summed </w:t>
      </w:r>
      <w:r>
        <w:rPr>
          <w:i/>
        </w:rPr>
        <w:t>nap</w:t>
      </w:r>
      <w:r>
        <w:t xml:space="preserve"> (</w:t>
      </w:r>
      <w:r>
        <w:rPr>
          <w:i/>
        </w:rPr>
        <w:t>napAB</w:t>
      </w:r>
      <w:r>
        <w:t xml:space="preserve">, K02567/K02568) RPKM rose monotonically from CAN_1 to CAN_5 (354.88 → 544.52, +53%), whereas membrane-bound </w:t>
      </w:r>
      <w:r>
        <w:rPr>
          <w:i/>
        </w:rPr>
        <w:t>nar</w:t>
      </w:r>
      <w:r>
        <w:t xml:space="preserve"> (</w:t>
      </w:r>
      <w:r>
        <w:rPr>
          <w:i/>
        </w:rPr>
        <w:t>narGHI</w:t>
      </w:r>
      <w:r>
        <w:t xml:space="preserve">, K00370/K00371/K00374) was roughly flat through CAN_3 and then declined sharply (367.48 → 130.29). The genomic inventory makes the structural basis explicit: complete membrane-bound </w:t>
      </w:r>
      <w:r>
        <w:rPr>
          <w:i/>
        </w:rPr>
        <w:t>nar</w:t>
      </w:r>
      <w:r>
        <w:t xml:space="preserve"> operons were recovered in only two MAGs (CAN_5_bin.40 and coasm_bin.55), with a partial </w:t>
      </w:r>
      <w:r>
        <w:rPr>
          <w:i/>
        </w:rPr>
        <w:t>narGH</w:t>
      </w:r>
      <w:r>
        <w:t xml:space="preserve"> in CAN_5_bin.106, while </w:t>
      </w:r>
      <w:r>
        <w:rPr>
          <w:i/>
        </w:rPr>
        <w:t>napAB</w:t>
      </w:r>
      <w:r>
        <w:t xml:space="preserve"> was distributed across six denitrifiers. Within the limits of these data, the late-series rise of </w:t>
      </w:r>
      <w:r>
        <w:rPr>
          <w:i/>
        </w:rPr>
        <w:t>nap</w:t>
      </w:r>
      <w:r>
        <w:t xml:space="preserve"> relative to </w:t>
      </w:r>
      <w:r>
        <w:rPr>
          <w:i/>
        </w:rPr>
        <w:t>nar</w:t>
      </w:r>
      <w:r>
        <w:t xml:space="preserve"> is consistent with a shift toward periplasmic nitrate reduction over the sampling window. The reactor-operation context (Phases I–V; changing aeration, nitrite carryover, C/N ratio, propionate enrichment) plausibly underlies this transition, but the repository does not document the precise sampling dates or phase boundaries </w:t>
      </w:r>
      <w:r>
        <w:rPr>
          <w:b/>
          <w:color w:val="C00000"/>
        </w:rPr>
        <w:t>[reactor phase/sampling metadata undocumented]</w:t>
      </w:r>
      <w:r>
        <w:t>, so the linkage between gene dynamics and specific operational changes remains inferential.</w:t>
      </w:r>
    </w:p>
    <w:p>
      <w:r>
        <w:t xml:space="preserve">Downstream of nitrite, the data suggest competition between denitrification (NO2 → NO) and DNRA (NO2 → NH4) at the level of genomic potential. The DNRA module </w:t>
      </w:r>
      <w:r>
        <w:rPr>
          <w:i/>
        </w:rPr>
        <w:t>nirB/D</w:t>
      </w:r>
      <w:r>
        <w:t xml:space="preserve"> (K00362/K00363) was the most broadly distributed nitrite-fate row (10 MAGs) and carried high community abundance throughout (440.58 at CAN_1, declining gradually to 305.70 at CAN_5). Its persistence at a magnitude comparable to the combined denitrification nitrite-reductases (</w:t>
      </w:r>
      <w:r>
        <w:rPr>
          <w:i/>
        </w:rPr>
        <w:t>nirS</w:t>
      </w:r>
      <w:r>
        <w:t xml:space="preserve"> ~245–308 across 9 MAGs; </w:t>
      </w:r>
      <w:r>
        <w:rPr>
          <w:i/>
        </w:rPr>
        <w:t>nirK</w:t>
      </w:r>
      <w:r>
        <w:t xml:space="preserve"> 51–75 early, in 2 MAGs) is consistent with a substantial fraction of the community having the genomic capacity to retain nitrite-derived nitrogen as ammonium rather than pass it to gaseous intermediates. This inference warrants emphasis because the </w:t>
      </w:r>
      <w:r>
        <w:rPr>
          <w:i/>
        </w:rPr>
        <w:t>nirB/D</w:t>
      </w:r>
      <w:r>
        <w:t xml:space="preserve"> calls were made under a deliberately relaxed criterion: the KofamScan threshold for K00362 (1279.33, domain) was relaxed to 0.55× and unioned with eggNOG-mapper calls, making the DNRA row less stringent than the other KO rows. The relaxation was justified in-code by eggNOG cross-confirmation, but the apparent breadth of DNRA potential should be read as a sensitivity-favoring call, and gene abundance does not equal flux partitioning.</w:t>
      </w:r>
    </w:p>
    <w:p>
      <w:r>
        <w:t xml:space="preserve">Within denitrification, the two nitrite reductases diverged in an ecologically informative way. The Cu-type </w:t>
      </w:r>
      <w:r>
        <w:rPr>
          <w:i/>
        </w:rPr>
        <w:t>nirK</w:t>
      </w:r>
      <w:r>
        <w:t xml:space="preserve"> (K00368) was present in only two MAGs (CAN_1_bin.210, CAN_2_bin.125) and its community signal collapsed nearly 28-fold across the series (74.56 at CAN_3 to 2.70 at CAN_5), whereas the cd1-type </w:t>
      </w:r>
      <w:r>
        <w:rPr>
          <w:i/>
        </w:rPr>
        <w:t>nirS</w:t>
      </w:r>
      <w:r>
        <w:t xml:space="preserve"> (K15864), distributed across nine MAGs, rose early and plateaued near 300. The disappearance of </w:t>
      </w:r>
      <w:r>
        <w:rPr>
          <w:i/>
        </w:rPr>
        <w:t>nirK</w:t>
      </w:r>
      <w:r>
        <w:t xml:space="preserve">-bearing organisms therefore did not erode total community nitrite-reduction capacity, which was buffered by the more abundant and taxonomically broader </w:t>
      </w:r>
      <w:r>
        <w:rPr>
          <w:i/>
        </w:rPr>
        <w:t>nirS</w:t>
      </w:r>
      <w:r>
        <w:t xml:space="preserve"> guild. The NO-reduction step (</w:t>
      </w:r>
      <w:r>
        <w:rPr>
          <w:i/>
        </w:rPr>
        <w:t>norC</w:t>
      </w:r>
      <w:r>
        <w:t xml:space="preserve"> figure row, defined as max RPKM over </w:t>
      </w:r>
      <w:r>
        <w:rPr>
          <w:i/>
        </w:rPr>
        <w:t>norC</w:t>
      </w:r>
      <w:r>
        <w:t xml:space="preserve"> K02305 and </w:t>
      </w:r>
      <w:r>
        <w:rPr>
          <w:i/>
        </w:rPr>
        <w:t>norB</w:t>
      </w:r>
      <w:r>
        <w:t xml:space="preserve"> K04561) was the single most abundant row in the inventory, peaking at 1315.85 at CAN_3 before falling roughly two-fold by CAN_5. Because this row was redefined to take the maximum over </w:t>
      </w:r>
      <w:r>
        <w:rPr>
          <w:i/>
        </w:rPr>
        <w:t>norC</w:t>
      </w:r>
      <w:r>
        <w:t xml:space="preserve"> and </w:t>
      </w:r>
      <w:r>
        <w:rPr>
          <w:i/>
        </w:rPr>
        <w:t>norB</w:t>
      </w:r>
      <w:r>
        <w:t>, raising cNOR coverage from four to ten MAGs, its dominance partly reflects the broad genomic distribution of cNOR rather than gene amplification per se.</w:t>
      </w:r>
    </w:p>
    <w:p>
      <w:r>
        <w:t xml:space="preserve">The terminal N2O-reduction step carries the clearest ecological implication and the largest interpretive caveat. Under the HMM clade assignment adopted by the figure, </w:t>
      </w:r>
      <w:r>
        <w:rPr>
          <w:i/>
        </w:rPr>
        <w:t>nosZ</w:t>
      </w:r>
      <w:r>
        <w:t xml:space="preserve"> was overwhelmingly clade II (12 of 13 genes), with the lone clade I call (coasm_bin.55) itself a low-confidence, near-tie assignment. The community </w:t>
      </w:r>
      <w:r>
        <w:rPr>
          <w:i/>
        </w:rPr>
        <w:t>nosZ</w:t>
      </w:r>
      <w:r>
        <w:t xml:space="preserve"> signal strengthened late in the series: clade II ΣRPKM rose from ~232 to 318 (12 MAGs) and the single clade I gene rose ~6-fold at CAN_4/CAN_5 (4.99 to 35.25/29.96), both increasing while the upstream NO-forming steps (</w:t>
      </w:r>
      <w:r>
        <w:rPr>
          <w:i/>
        </w:rPr>
        <w:t>nirK</w:t>
      </w:r>
      <w:r>
        <w:t xml:space="preserve">, </w:t>
      </w:r>
      <w:r>
        <w:rPr>
          <w:i/>
        </w:rPr>
        <w:t>norC</w:t>
      </w:r>
      <w:r>
        <w:t>) declined. It must be stressed, however, that the magnitude of upstream NO-reduction (</w:t>
      </w:r>
      <w:r>
        <w:rPr>
          <w:i/>
        </w:rPr>
        <w:t>norC</w:t>
      </w:r>
      <w:r>
        <w:t xml:space="preserve"> peaking &gt;1300) relative to </w:t>
      </w:r>
      <w:r>
        <w:rPr>
          <w:i/>
        </w:rPr>
        <w:t>nosZ</w:t>
      </w:r>
      <w:r>
        <w:t xml:space="preserve"> (~250–350) indicates that NO-to-N2O production capacity substantially exceeded N2O-to-N2 reduction capacity at the genomic-abundance level, so the system cannot be characterized as a net N2O sink on these data. Moreover, the sink-versus-source balance hinges directly on the clade composition of </w:t>
      </w:r>
      <w:r>
        <w:rPr>
          <w:i/>
        </w:rPr>
        <w:t>nosZ</w:t>
      </w:r>
      <w:r>
        <w:t>, which is unresolved (see below). These are depth-normalized gene-abundance (RPKM) and copy-number proxies, not measured N2O fluxes; the inventory constrains genomic potential, not realized rates, and no in-situ N2O measurements are present in the repository to anchor a sink/source claim.</w:t>
      </w:r>
    </w:p>
    <w:p>
      <w:pPr>
        <w:pStyle w:val="Heading2"/>
      </w:pPr>
      <w:r>
        <w:t>The unresolved nosZ clade I/II assignment</w:t>
      </w:r>
    </w:p>
    <w:p>
      <w:r>
        <w:t xml:space="preserve">A central methodological finding of this work is that the clade I/II split of the 13 K00376 </w:t>
      </w:r>
      <w:r>
        <w:rPr>
          <w:i/>
        </w:rPr>
        <w:t>nosZ</w:t>
      </w:r>
      <w:r>
        <w:t xml:space="preserve"> genes is method-dependent and currently unresolved. The HMM approach (pyhmmer 0.12.1 nhmmer of each gene against eight reference-alignment profiles, calling clade I when the clade-I bit score met or exceeded the maximum clade-II sub-clade score) returned 1 clade I / 12 clade II. The diamond blastp approach (top-five hits against the 336-protein Orellana reference, majority vote over genus labels) returned 7 clade I / 6 clade II. Seven genes agreed across methods (two of them only via fallback to the prior HMM call, where diamond returned "unknown"), while six flipped from HMM-clade-II to diamond-clade-I (the two </w:t>
      </w:r>
      <w:r>
        <w:rPr>
          <w:i/>
        </w:rPr>
        <w:t>Accumulibacter</w:t>
      </w:r>
      <w:r>
        <w:t xml:space="preserve"> MAGs CAN_1_bin.98 and coasm_bin.185, plus CAN_2_bin.6, CAN_5_bin.70, CAN_3_bin.203, and the borderline CAN_5_bin.40). The true clade I count is therefore bounded only between 1 and 7, and this uncertainty is not cosmetic: it changes the headline interpretation from "N2O reduction almost entirely atypical clade II" to "canonical denitrifier-type clade I N2O reduction well represented, including in the </w:t>
      </w:r>
      <w:r>
        <w:rPr>
          <w:i/>
        </w:rPr>
        <w:t>Accumulibacter</w:t>
      </w:r>
      <w:r>
        <w:t xml:space="preserve"> PAOs."</w:t>
      </w:r>
    </w:p>
    <w:p>
      <w:r>
        <w:t xml:space="preserve">The conflict has an identifiable structural cause rather than reflecting random method noise. Five of the six flipped genes had an HMM best-match to the same reference sub-clade, II.D (NosZREF-1577D, labeled </w:t>
      </w:r>
      <w:r>
        <w:rPr>
          <w:i/>
        </w:rPr>
        <w:t>Dechloromonas/Dechlorosoma</w:t>
      </w:r>
      <w:r>
        <w:t xml:space="preserve">). The clade I/II grouping of the reference alignments was an inferred interpretation, not a curated key: the seven "1577" sub-clade files were assigned to clade II from file naming and taxon composition, with no explicit clade label in the source folder. But </w:t>
      </w:r>
      <w:r>
        <w:rPr>
          <w:i/>
        </w:rPr>
        <w:t>Dechloromonas</w:t>
      </w:r>
      <w:r>
        <w:t xml:space="preserve">, </w:t>
      </w:r>
      <w:r>
        <w:rPr>
          <w:i/>
        </w:rPr>
        <w:t>Dechlorosoma</w:t>
      </w:r>
      <w:r>
        <w:t xml:space="preserve">, </w:t>
      </w:r>
      <w:r>
        <w:rPr>
          <w:i/>
        </w:rPr>
        <w:t>Accumulibacter</w:t>
      </w:r>
      <w:r>
        <w:t xml:space="preserve">, </w:t>
      </w:r>
      <w:r>
        <w:rPr>
          <w:i/>
        </w:rPr>
        <w:t>Azonexus</w:t>
      </w:r>
      <w:r>
        <w:t xml:space="preserve">, and </w:t>
      </w:r>
      <w:r>
        <w:rPr>
          <w:i/>
        </w:rPr>
        <w:t>Alicycliphilus</w:t>
      </w:r>
      <w:r>
        <w:t xml:space="preserve"> are Rhodocyclaceae/Comamonadaceae denitrifiers generally reported to carry canonical clade I </w:t>
      </w:r>
      <w:r>
        <w:rPr>
          <w:i/>
        </w:rPr>
        <w:t>nosZ</w:t>
      </w:r>
      <w:r>
        <w:t xml:space="preserve"> (Sanford et al. 2012; Jones et al. 2013). The HMM produced large, confident-looking margins toward II.D (−274 to −365 bits for the flipped genes), but a confident match to a possibly-mislabeled reference is confidently wrong rather than reliable. This is reinforced by a documented naming trap: the diamond top hit for both </w:t>
      </w:r>
      <w:r>
        <w:rPr>
          <w:i/>
        </w:rPr>
        <w:t>Accumulibacter</w:t>
      </w:r>
      <w:r>
        <w:t xml:space="preserve"> genes is "</w:t>
      </w:r>
      <w:r>
        <w:rPr>
          <w:i/>
        </w:rPr>
        <w:t>Candidatus</w:t>
      </w:r>
      <w:r>
        <w:t xml:space="preserve"> Accumulibacter phosphatis clade IIA str. UW-1" at 90–92% identity, where "clade IIA" is </w:t>
      </w:r>
      <w:r>
        <w:rPr>
          <w:i/>
        </w:rPr>
        <w:t>Accumulibacter</w:t>
      </w:r>
      <w:r>
        <w:t xml:space="preserve">'s own PAO ecotype designation and must not be read as a </w:t>
      </w:r>
      <w:r>
        <w:rPr>
          <w:i/>
        </w:rPr>
        <w:t>nosZ</w:t>
      </w:r>
      <w:r>
        <w:t xml:space="preserve"> clade-II label. The two methods are thus probing different things — best-fit to a curated profile set whose clade labels are themselves uncertain (HMM) versus nearest taxonomically labeled homolog (diamond) — and they diverge precisely where the reference labeling is most suspect.</w:t>
      </w:r>
    </w:p>
    <w:p>
      <w:r>
        <w:t>Neither method adjudicates the other. The recommended resolution is phylogenetic placement of the 13 query genes within a tree built from independently established clade I/II reference membership; the alignment and tree material (</w:t>
      </w:r>
      <w:r>
        <w:rPr>
          <w:rFonts w:ascii="Consolas" w:hAnsi="Consolas"/>
          <w:sz w:val="19"/>
        </w:rPr>
        <w:t>nosz_aligned.afa</w:t>
      </w:r>
      <w:r>
        <w:t xml:space="preserve">, </w:t>
      </w:r>
      <w:r>
        <w:rPr>
          <w:rFonts w:ascii="Consolas" w:hAnsi="Consolas"/>
          <w:sz w:val="19"/>
        </w:rPr>
        <w:t>nosz_tree.nwk</w:t>
      </w:r>
      <w:r>
        <w:t>) were generated but not used for the final call, and the in-repo summary that asserted the HMM calls were correct never demonstrated it. Until a tree-based adjudication is performed and the II.D reference grouping is re-examined, the clade I count and, with it, any sink/source narrative for the terminal step should be reported as unresolved.</w:t>
      </w:r>
    </w:p>
    <w:p>
      <w:pPr>
        <w:pStyle w:val="Heading2"/>
      </w:pPr>
      <w:r>
        <w:t>Absence of clade III L-NosZ and a cNOR-only NO-reduction architecture</w:t>
      </w:r>
    </w:p>
    <w:p>
      <w:r>
        <w:t>A reference-independent screen of all 276 dereplicated MAGs found no clade III L-NosZ (lactonase-type N2O reductase; He et al. 2025). Pyrodigal meta-mode ORF calling yielded 935,110 ORFs, hmmsearch against the He 269NosZ profile (length 606, E ≤ 1e-10) returned 180 hits, and CuA/CuZ motif scoring classified 126 as DXHH C-NosZ (clade I/II) with a single GXHH (L-NosZ candidate) and 53 fragments. The lone GXHH candidate (coasm_bin.312, 201 aa) lacked the CuA motif and matched a Bacteroidota C-NosZ (</w:t>
      </w:r>
      <w:r>
        <w:rPr>
          <w:i/>
        </w:rPr>
        <w:t>Runella</w:t>
      </w:r>
      <w:r>
        <w:t>) at 73.7% identity, far above the &lt;35% L-NosZ cutoff, identifying it as a fragmented clade II C-NosZ false positive. Because clade III L-NosZ is not captured by standard K00376 annotation, this targeted screen was necessary to exclude it; its absence indicates that whatever terminal N2O-reduction capacity exists in the CAN community is exclusively C-NosZ. This narrows the unresolved clade question to the I-versus-II axis and removes a third possibility from the interpretation.</w:t>
      </w:r>
    </w:p>
    <w:p>
      <w:r>
        <w:t xml:space="preserve">The NO-reduction step was likewise structurally constrained: cNOR </w:t>
      </w:r>
      <w:r>
        <w:rPr>
          <w:i/>
        </w:rPr>
        <w:t>norB</w:t>
      </w:r>
      <w:r>
        <w:t xml:space="preserve"> (K04561) was recovered in 10 of the 21 selected MAGs, while quinol-dependent NOR (</w:t>
      </w:r>
      <w:r>
        <w:rPr>
          <w:i/>
        </w:rPr>
        <w:t>qNOR/norZ</w:t>
      </w:r>
      <w:r>
        <w:t>, K11188) was completely absent across both the 21 focal MAGs and the larger ~337-MAG dataset. The community therefore relied on cNOR (</w:t>
      </w:r>
      <w:r>
        <w:rPr>
          <w:i/>
        </w:rPr>
        <w:t>norBC</w:t>
      </w:r>
      <w:r>
        <w:t>) exclusively for NO reduction. A cNOR-only configuration is consistent with the EBPR/denitrifier framing of the reactor.</w:t>
      </w:r>
    </w:p>
    <w:p>
      <w:pPr>
        <w:pStyle w:val="Heading2"/>
      </w:pPr>
      <w:r>
        <w:t>Limitations</w:t>
      </w:r>
    </w:p>
    <w:p>
      <w:r>
        <w:t xml:space="preserve">Several limitations temper these inferences. First, abundance and copy-number estimates rest on long-read mapping and depth proxies, and the repository contains two distinct reference/denominator regimes. The committed figure tables were built from a 21-MAG focal reference (per-sample mapped totals 6.64/5.05/7.35/9.26/12.33M, confirmed by back-solving committed RPKM cells), but the alignment command that produced those focal-reference BAMs is not in the repository. A separate, committed </w:t>
      </w:r>
      <w:r>
        <w:rPr>
          <w:rFonts w:ascii="Consolas" w:hAnsi="Consolas"/>
          <w:sz w:val="19"/>
        </w:rPr>
        <w:t>minimap2 -ax map-ont --secondary=no</w:t>
      </w:r>
      <w:r>
        <w:t xml:space="preserve"> re-run against a 276-MAG community reference produced different totals (7.74/5.87/8.57/10.24/13.61M) and lost 70–87% of reads on conserved genes; the </w:t>
      </w:r>
      <w:r>
        <w:rPr>
          <w:rFonts w:ascii="Consolas" w:hAnsi="Consolas"/>
          <w:sz w:val="19"/>
        </w:rPr>
        <w:t>counts_*.json</w:t>
      </w:r>
      <w:r>
        <w:t xml:space="preserve"> files currently in the repository carry these community-reference totals, so re-running the aggregation now would not reproduce the committed figure denominators. The focal-reference denominators are correct for the committed figure, but quantification is reference-sensitive. Copy number was computed as gene depth normalized by whole-genome depth, with the genome-coverage term explicitly flagged as a reads-per-bp proxy (read length not incorporated); the merged read-based "norBC/nosZ" row partly reflects multiple distinct loci rather than amplification. No MAPQ filter was applied, and a read overlapping multiple homologous gene regions could be counted in each, which is relevant for tandem or paralogous copies.</w:t>
      </w:r>
    </w:p>
    <w:p>
      <w:r>
        <w:t xml:space="preserve">Second, every clade assignment and KO call depends on reference databases and thresholds whose choices materially affect the result, as the clade I/II discrepancy demonstrates directly. The KofamScan adaptive thresholds were applied as published, but the </w:t>
      </w:r>
      <w:r>
        <w:rPr>
          <w:i/>
        </w:rPr>
        <w:t>nirB/D</w:t>
      </w:r>
      <w:r>
        <w:t xml:space="preserve"> relaxation and the eggNOG union are deliberate sensitivity choices. The GAO/PAO/Denitrifier classification used genome-content KO-Boolean logic, which can disagree with genus-based expectation (e.g. CAN_4_bin.116 is genus </w:t>
      </w:r>
      <w:r>
        <w:rPr>
          <w:i/>
        </w:rPr>
        <w:t>Competibacter</w:t>
      </w:r>
      <w:r>
        <w:t xml:space="preserve">, normally a GAO, but was content-classified as PAO). Third, this is a single-site, five-point time series treated as ordered time points; with five samples and no replication, temporal trends (the </w:t>
      </w:r>
      <w:r>
        <w:rPr>
          <w:i/>
        </w:rPr>
        <w:t>nirK</w:t>
      </w:r>
      <w:r>
        <w:t xml:space="preserve"> collapse, the </w:t>
      </w:r>
      <w:r>
        <w:rPr>
          <w:i/>
        </w:rPr>
        <w:t>nap</w:t>
      </w:r>
      <w:r>
        <w:t xml:space="preserve"> rise, the late </w:t>
      </w:r>
      <w:r>
        <w:rPr>
          <w:i/>
        </w:rPr>
        <w:t>nosZ</w:t>
      </w:r>
      <w:r>
        <w:t xml:space="preserve"> increase) are suggestive but not statistically testable, and the expansion of "CAN" and the precise reactor type are not documented in the repository </w:t>
      </w:r>
      <w:r>
        <w:rPr>
          <w:b/>
          <w:color w:val="C00000"/>
        </w:rPr>
        <w:t>[CAN expansion and reactor type undocumented]</w:t>
      </w:r>
      <w:r>
        <w:t xml:space="preserve">. Fourth, the upstream binning, dereplication, and annotation were executed on a compute server (paths under </w:t>
      </w:r>
      <w:r>
        <w:rPr>
          <w:rFonts w:ascii="Consolas" w:hAnsi="Consolas"/>
          <w:sz w:val="19"/>
        </w:rPr>
        <w:t>/scratch1/...</w:t>
      </w:r>
      <w:r>
        <w:t xml:space="preserve">) and are represented here only by their committed outputs; binning tool/version, dRep parameters, CheckM2/GTDB-Tk/CoverM versions, and the combined-reference build command are not recorded </w:t>
      </w:r>
      <w:r>
        <w:rPr>
          <w:b/>
          <w:color w:val="C00000"/>
        </w:rPr>
        <w:t>[undocumented]</w:t>
      </w:r>
      <w:r>
        <w:t>, limiting exact reproducibility.</w:t>
      </w:r>
    </w:p>
    <w:p>
      <w:pPr>
        <w:pStyle w:val="Heading2"/>
      </w:pPr>
      <w:r>
        <w:t>Future work</w:t>
      </w:r>
    </w:p>
    <w:p>
      <w:r>
        <w:t xml:space="preserve">The most consequential next step is phylogenetic adjudication of the </w:t>
      </w:r>
      <w:r>
        <w:rPr>
          <w:i/>
        </w:rPr>
        <w:t>nosZ</w:t>
      </w:r>
      <w:r>
        <w:t xml:space="preserve"> clade I/II split, using a reference set with independently established clade membership and explicitly re-examining whether the II.D (</w:t>
      </w:r>
      <w:r>
        <w:rPr>
          <w:i/>
        </w:rPr>
        <w:t>Dechloromonas/Dechlorosoma</w:t>
      </w:r>
      <w:r>
        <w:t xml:space="preserve">) reference group belongs to clade I; the alignment and tree scaffolds already exist and need only be applied to a curated reference. Resolving this would determine whether the CAN community's terminal N2O step is dominated by canonical clade I denitrifiers (including the </w:t>
      </w:r>
      <w:r>
        <w:rPr>
          <w:i/>
        </w:rPr>
        <w:t>Accumulibacter</w:t>
      </w:r>
      <w:r>
        <w:t xml:space="preserve"> PAOs) or by atypical clade II reducers. Beyond the in-silico inventory, direct measurement of N2O flux, nitrite and ammonium pools, and process rates across the operational phases would be required to convert genomic potential into realized N-removal fates and to test the DNRA-versus-denitrification competition implied here. Expanding the time series in sample number and replication, and pairing it with the documented operational variables, would allow the gene-abundance dynamics to be connected statistically to reactor operation. Finally, transcriptomic or proteomic confirmation of the relaxed-threshold </w:t>
      </w:r>
      <w:r>
        <w:rPr>
          <w:i/>
        </w:rPr>
        <w:t>nirB/D</w:t>
      </w:r>
      <w:r>
        <w:t xml:space="preserve"> DNRA calls and of the cNOR-only NO-reduction architecture would establish whether the genomic capacity inferred here is expressed under reactor conditions.</w:t>
      </w:r>
    </w:p>
    <w:p>
      <w:pPr>
        <w:pStyle w:val="Heading1"/>
      </w:pPr>
      <w:r>
        <w:t>References</w:t>
      </w:r>
    </w:p>
    <w:p>
      <w:pPr>
        <w:ind w:left="432" w:hanging="432"/>
      </w:pPr>
      <w:r>
        <w:t>1. Li H. 2018. Minimap2: pairwise alignment for nucleotide sequences. Bioinformatics 34(18):3094-3100. DOI:10.1093/bioinformatics/bty191</w:t>
      </w:r>
    </w:p>
    <w:p>
      <w:pPr>
        <w:ind w:left="432" w:hanging="432"/>
      </w:pPr>
      <w:r>
        <w:t>2. Danecek P, Bonfield JK, Liddle J, et al. 2021. Twelve years of SAMtools and BCFtools. GigaScience 10(2):giab008. DOI:10.1093/gigascience/giab008</w:t>
      </w:r>
    </w:p>
    <w:p>
      <w:pPr>
        <w:ind w:left="432" w:hanging="432"/>
      </w:pPr>
      <w:r>
        <w:t>3. Eddy SR. 2011. Accelerated Profile HMM Searches. PLoS Computational Biology 7(10):e1002195. DOI:10.1371/journal.pcbi.1002195</w:t>
      </w:r>
    </w:p>
    <w:p>
      <w:pPr>
        <w:ind w:left="432" w:hanging="432"/>
      </w:pPr>
      <w:r>
        <w:t>4. Larralde M, Zeller G. 2023. PyHMMER: a Python library binding to HMMER for efficient sequence analysis. Bioinformatics 39(5):btad214. DOI:10.1093/bioinformatics/btad214</w:t>
      </w:r>
    </w:p>
    <w:p>
      <w:pPr>
        <w:ind w:left="432" w:hanging="432"/>
      </w:pPr>
      <w:r>
        <w:t>5. Hyatt D, Chen G-L, LoCascio PF, Land ML, Larimer FW, Hauser LJ. 2010. Prodigal: prokaryotic gene recognition and translation initiation site identification. BMC Bioinformatics 11:119. DOI:10.1186/1471-2105-11-119</w:t>
      </w:r>
    </w:p>
    <w:p>
      <w:pPr>
        <w:ind w:left="432" w:hanging="432"/>
      </w:pPr>
      <w:r>
        <w:t>6. Larralde M. 2022. Pyrodigal: Python bindings and interface to Prodigal. Journal of Open Source Software 7(72):4296. DOI:10.21105/joss.04296</w:t>
      </w:r>
    </w:p>
    <w:p>
      <w:pPr>
        <w:ind w:left="432" w:hanging="432"/>
      </w:pPr>
      <w:r>
        <w:t>7. Buchfink B, Xie C, Huson DH. 2015. Fast and sensitive protein alignment using DIAMOND. Nature Methods 12(1):59-60. DOI:10.1038/nmeth.3176</w:t>
      </w:r>
    </w:p>
    <w:p>
      <w:pPr>
        <w:ind w:left="432" w:hanging="432"/>
      </w:pPr>
      <w:r>
        <w:t>8. Aramaki T, Blanc-Mathieu R, Endo H, Ohkubo K, Kanehisa M, Goto S, Ogata H. 2020. KofamKOALA: KEGG Ortholog assignment based on profile HMM and adaptive score threshold. Bioinformatics 36(7):2251-2252. DOI:10.1093/bioinformatics/btz859</w:t>
      </w:r>
    </w:p>
    <w:p>
      <w:pPr>
        <w:ind w:left="432" w:hanging="432"/>
      </w:pPr>
      <w:r>
        <w:t>9. Kanehisa M, Goto S. 2000. KEGG: Kyoto Encyclopedia of Genes and Genomes. Nucleic Acids Research 28(1):27-30. DOI:10.1093/nar/28.1.27</w:t>
      </w:r>
    </w:p>
    <w:p>
      <w:pPr>
        <w:ind w:left="432" w:hanging="432"/>
      </w:pPr>
      <w:r>
        <w:t>10. He G, et al. 2025. A novel bacterial protein family that catalyses nitrous oxide reduction. Nature 646:152-160. DOI:10.1038/s41586-025-09401-4</w:t>
      </w:r>
    </w:p>
    <w:p>
      <w:pPr>
        <w:ind w:left="432" w:hanging="432"/>
      </w:pPr>
      <w:r>
        <w:t>11. Sanford RA, Wagner DD, Wu Q, et al. 2012. Unexpected nondenitrifier nitrous oxide reductase gene diversity and abundance in soils. PNAS 109(48):19709-19714. DOI:10.1073/pnas.1211238109</w:t>
      </w:r>
    </w:p>
    <w:p>
      <w:pPr>
        <w:ind w:left="432" w:hanging="432"/>
      </w:pPr>
      <w:r>
        <w:t>12. Jones CM, Graf DRH, Bru D, Philippot L, Hallin S. 2013. The unaccounted yet abundant nitrous oxide-reducing microbial community: a potential nitrous oxide sink. ISME Journal 7(2):417-426. DOI:10.1038/ismej.2012.125</w:t>
      </w:r>
    </w:p>
    <w:p>
      <w:pPr>
        <w:ind w:left="432" w:hanging="432"/>
      </w:pPr>
      <w:r>
        <w:t>13. Orellana LH, Rodriguez-R LM, Higgins S, Chee-Sanford JC, Sanford RA, Ritalahti KM, Loffler FE, Konstantinidis KT. 2014. Detecting nitrous oxide reductase (nosZ) genes in soil metagenomes: method development and implications for the nitrogen cycle. mBio 5(3):e01193-14. DOI:10.1128/mBio.01193-14</w:t>
      </w:r>
    </w:p>
    <w:p>
      <w:pPr>
        <w:ind w:left="432" w:hanging="432"/>
      </w:pPr>
      <w:r>
        <w:t>14. Olm MR, Brown CT, Brooks B, Banfield JF. 2017. dRep: a tool for fast and accurate genomic comparisons that enables improved genome recovery from metagenomes. ISME Journal 11(12):2864-2868. DOI:10.1038/ismej.2017.126</w:t>
      </w:r>
    </w:p>
    <w:p>
      <w:pPr>
        <w:ind w:left="432" w:hanging="432"/>
      </w:pPr>
      <w:r>
        <w:t>15. Chklovski A, Parks DH, Woodcroft BJ, Tyson GW. 2023. CheckM2: a rapid, scalable and accurate tool for assessing microbial genome quality using machine learning. Nature Methods 20(8):1203-1212. DOI:10.1038/s41592-023-01940-w</w:t>
      </w:r>
    </w:p>
    <w:p>
      <w:pPr>
        <w:ind w:left="432" w:hanging="432"/>
      </w:pPr>
      <w:r>
        <w:t xml:space="preserve">16. Chaumeil P-A, Mussig AJ, Hugenholtz P, Parks DH. 2022. GTDB-Tk v2: memory friendly classification with the Genome Taxonomy Database. Bioinformatics 38(23):5315-5316. DOI:10.1093/bioinformatics/btac672 </w:t>
      </w:r>
      <w:r>
        <w:rPr>
          <w:b/>
          <w:color w:val="C00000"/>
        </w:rPr>
        <w:t>[verify DOI at publisher]</w:t>
      </w:r>
    </w:p>
    <w:p>
      <w:pPr>
        <w:ind w:left="432" w:hanging="432"/>
      </w:pPr>
      <w:r>
        <w:t>17. Parks DH, Chuvochina M, Rinke C, Mussig AJ, Chaumeil P-A, Hugenholtz P. 2022. GTDB: an ongoing census of bacterial and archaeal diversity through a phylogenetically consistent, rank normalized and complete genome-based taxonomy. Nucleic Acids Research 50(D1):D785-D794. DOI:10.1093/nar/gkab776</w:t>
      </w:r>
    </w:p>
    <w:p>
      <w:pPr>
        <w:ind w:left="432" w:hanging="432"/>
      </w:pPr>
      <w:r>
        <w:t xml:space="preserve">18. Wheeler TJ, Eddy SR. 2013. nhmmer: DNA homology search with profile HMMs. Bioinformatics 29(19):2487-2489. DOI:10.1093/bioinformatics/btt403 </w:t>
      </w:r>
      <w:r>
        <w:rPr>
          <w:b/>
          <w:color w:val="C00000"/>
        </w:rPr>
        <w:t>[verify - cite if nucleotide nhmmer needs explicit attribution]</w:t>
      </w:r>
    </w:p>
    <w:p>
      <w:pPr>
        <w:ind w:left="432" w:hanging="432"/>
      </w:pPr>
      <w:r>
        <w:t xml:space="preserve">19. Buchfink B, Reuter K, Drost H-G. 2021. Sensitive protein alignments at tree-of-life scale using DIAMOND. Nature Methods 18(4):366-368. DOI:10.1038/s41592-021-01101-x </w:t>
      </w:r>
      <w:r>
        <w:rPr>
          <w:b/>
          <w:color w:val="C00000"/>
        </w:rPr>
        <w:t>[verify - cite only if DIAMOND v2.x was the installed version]</w:t>
      </w:r>
    </w:p>
    <w:p>
      <w:r>
        <w:br w:type="page"/>
      </w:r>
    </w:p>
    <w:p>
      <w:pPr>
        <w:pStyle w:val="Heading1"/>
      </w:pPr>
      <w:r>
        <w:t>Tables</w:t>
      </w:r>
    </w:p>
    <w:p>
      <w:pPr>
        <w:spacing w:before="80"/>
      </w:pPr>
      <w:r>
        <w:rPr>
          <w:b/>
          <w:sz w:val="18"/>
        </w:rPr>
        <w:t xml:space="preserve">Table 1. </w:t>
      </w:r>
      <w:r>
        <w:rPr>
          <w:i/>
          <w:sz w:val="18"/>
        </w:rPr>
        <w:t>Target nitrogen-cycle genes, their KEGG Orthology (KO) identifiers, and encoded enzymes, organized by N-transformation step.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448"/>
            <w:shd w:val="clear" w:color="auto" w:fill="D9E2F3"/>
          </w:tcPr>
          <w:p>
            <w:r/>
            <w:r>
              <w:rPr>
                <w:b/>
                <w:sz w:val="17"/>
              </w:rPr>
              <w:t>N-transformation step</w:t>
            </w:r>
          </w:p>
        </w:tc>
        <w:tc>
          <w:tcPr>
            <w:tcW w:type="dxa" w:w="1584"/>
            <w:shd w:val="clear" w:color="auto" w:fill="D9E2F3"/>
          </w:tcPr>
          <w:p>
            <w:r/>
            <w:r>
              <w:rPr>
                <w:b/>
                <w:sz w:val="17"/>
              </w:rPr>
              <w:t>Gene</w:t>
            </w:r>
          </w:p>
        </w:tc>
        <w:tc>
          <w:tcPr>
            <w:tcW w:type="dxa" w:w="2448"/>
            <w:shd w:val="clear" w:color="auto" w:fill="D9E2F3"/>
          </w:tcPr>
          <w:p>
            <w:r/>
            <w:r>
              <w:rPr>
                <w:b/>
                <w:sz w:val="17"/>
              </w:rPr>
              <w:t>KEGG Orthology (KO)</w:t>
            </w:r>
          </w:p>
        </w:tc>
        <w:tc>
          <w:tcPr>
            <w:tcW w:type="dxa" w:w="3168"/>
            <w:shd w:val="clear" w:color="auto" w:fill="D9E2F3"/>
          </w:tcPr>
          <w:p>
            <w:r/>
            <w:r>
              <w:rPr>
                <w:b/>
                <w:sz w:val="17"/>
              </w:rPr>
              <w:t>Enzyme</w:t>
            </w:r>
          </w:p>
        </w:tc>
      </w:tr>
      <w:tr>
        <w:tc>
          <w:tcPr>
            <w:tcW w:type="dxa" w:w="2448"/>
          </w:tcPr>
          <w:p>
            <w:r/>
            <w:r>
              <w:rPr>
                <w:b w:val="0"/>
                <w:sz w:val="17"/>
              </w:rPr>
              <w:t>Nitrate reduction (NO₃→NO₂)</w:t>
            </w:r>
          </w:p>
        </w:tc>
        <w:tc>
          <w:tcPr>
            <w:tcW w:type="dxa" w:w="1584"/>
          </w:tcPr>
          <w:p>
            <w:r/>
            <w:r>
              <w:rPr>
                <w:b w:val="0"/>
                <w:sz w:val="17"/>
              </w:rPr>
              <w:t>nar (narGHI)</w:t>
            </w:r>
          </w:p>
        </w:tc>
        <w:tc>
          <w:tcPr>
            <w:tcW w:type="dxa" w:w="2448"/>
          </w:tcPr>
          <w:p>
            <w:r/>
            <w:r>
              <w:rPr>
                <w:b w:val="0"/>
                <w:sz w:val="17"/>
              </w:rPr>
              <w:t>K00370, K00371, K00374</w:t>
            </w:r>
          </w:p>
        </w:tc>
        <w:tc>
          <w:tcPr>
            <w:tcW w:type="dxa" w:w="3168"/>
          </w:tcPr>
          <w:p>
            <w:r/>
            <w:r>
              <w:rPr>
                <w:b w:val="0"/>
                <w:sz w:val="17"/>
              </w:rPr>
              <w:t>Membrane-bound nitrate reductase</w:t>
            </w:r>
          </w:p>
        </w:tc>
      </w:tr>
      <w:tr>
        <w:tc>
          <w:tcPr>
            <w:tcW w:type="dxa" w:w="2448"/>
          </w:tcPr>
          <w:p>
            <w:r/>
            <w:r>
              <w:rPr>
                <w:b w:val="0"/>
                <w:sz w:val="17"/>
              </w:rPr>
              <w:t>Nitrate reduction (NO₃→NO₂)</w:t>
            </w:r>
          </w:p>
        </w:tc>
        <w:tc>
          <w:tcPr>
            <w:tcW w:type="dxa" w:w="1584"/>
          </w:tcPr>
          <w:p>
            <w:r/>
            <w:r>
              <w:rPr>
                <w:b w:val="0"/>
                <w:sz w:val="17"/>
              </w:rPr>
              <w:t>nap (napAB)</w:t>
            </w:r>
          </w:p>
        </w:tc>
        <w:tc>
          <w:tcPr>
            <w:tcW w:type="dxa" w:w="2448"/>
          </w:tcPr>
          <w:p>
            <w:r/>
            <w:r>
              <w:rPr>
                <w:b w:val="0"/>
                <w:sz w:val="17"/>
              </w:rPr>
              <w:t>K02567, K02568</w:t>
            </w:r>
          </w:p>
        </w:tc>
        <w:tc>
          <w:tcPr>
            <w:tcW w:type="dxa" w:w="3168"/>
          </w:tcPr>
          <w:p>
            <w:r/>
            <w:r>
              <w:rPr>
                <w:b w:val="0"/>
                <w:sz w:val="17"/>
              </w:rPr>
              <w:t>Periplasmic nitrate reductase</w:t>
            </w:r>
          </w:p>
        </w:tc>
      </w:tr>
      <w:tr>
        <w:tc>
          <w:tcPr>
            <w:tcW w:type="dxa" w:w="2448"/>
          </w:tcPr>
          <w:p>
            <w:r/>
            <w:r>
              <w:rPr>
                <w:b w:val="0"/>
                <w:sz w:val="17"/>
              </w:rPr>
              <w:t>DNRA (NO₂→NH₄⁺)</w:t>
            </w:r>
          </w:p>
        </w:tc>
        <w:tc>
          <w:tcPr>
            <w:tcW w:type="dxa" w:w="1584"/>
          </w:tcPr>
          <w:p>
            <w:r/>
            <w:r>
              <w:rPr>
                <w:b w:val="0"/>
                <w:sz w:val="17"/>
              </w:rPr>
              <w:t>nirB/D</w:t>
            </w:r>
          </w:p>
        </w:tc>
        <w:tc>
          <w:tcPr>
            <w:tcW w:type="dxa" w:w="2448"/>
          </w:tcPr>
          <w:p>
            <w:r/>
            <w:r>
              <w:rPr>
                <w:b w:val="0"/>
                <w:sz w:val="17"/>
              </w:rPr>
              <w:t>K00362, K00363</w:t>
            </w:r>
          </w:p>
        </w:tc>
        <w:tc>
          <w:tcPr>
            <w:tcW w:type="dxa" w:w="3168"/>
          </w:tcPr>
          <w:p>
            <w:r/>
            <w:r>
              <w:rPr>
                <w:b w:val="0"/>
                <w:sz w:val="17"/>
              </w:rPr>
              <w:t>NADH-dependent nitrite reductase</w:t>
            </w:r>
          </w:p>
        </w:tc>
      </w:tr>
      <w:tr>
        <w:tc>
          <w:tcPr>
            <w:tcW w:type="dxa" w:w="2448"/>
          </w:tcPr>
          <w:p>
            <w:r/>
            <w:r>
              <w:rPr>
                <w:b w:val="0"/>
                <w:sz w:val="17"/>
              </w:rPr>
              <w:t>Denitrification (NO₂→NO)</w:t>
            </w:r>
          </w:p>
        </w:tc>
        <w:tc>
          <w:tcPr>
            <w:tcW w:type="dxa" w:w="1584"/>
          </w:tcPr>
          <w:p>
            <w:r/>
            <w:r>
              <w:rPr>
                <w:b w:val="0"/>
                <w:sz w:val="17"/>
              </w:rPr>
              <w:t>nirS</w:t>
            </w:r>
          </w:p>
        </w:tc>
        <w:tc>
          <w:tcPr>
            <w:tcW w:type="dxa" w:w="2448"/>
          </w:tcPr>
          <w:p>
            <w:r/>
            <w:r>
              <w:rPr>
                <w:b w:val="0"/>
                <w:sz w:val="17"/>
              </w:rPr>
              <w:t>K15864</w:t>
            </w:r>
          </w:p>
        </w:tc>
        <w:tc>
          <w:tcPr>
            <w:tcW w:type="dxa" w:w="3168"/>
          </w:tcPr>
          <w:p>
            <w:r/>
            <w:r>
              <w:rPr>
                <w:b w:val="0"/>
                <w:sz w:val="17"/>
              </w:rPr>
              <w:t>Cytochrome cd₁ nitrite reductase</w:t>
            </w:r>
          </w:p>
        </w:tc>
      </w:tr>
      <w:tr>
        <w:tc>
          <w:tcPr>
            <w:tcW w:type="dxa" w:w="2448"/>
          </w:tcPr>
          <w:p>
            <w:r/>
            <w:r>
              <w:rPr>
                <w:b w:val="0"/>
                <w:sz w:val="17"/>
              </w:rPr>
              <w:t>Denitrification (NO₂→NO)</w:t>
            </w:r>
          </w:p>
        </w:tc>
        <w:tc>
          <w:tcPr>
            <w:tcW w:type="dxa" w:w="1584"/>
          </w:tcPr>
          <w:p>
            <w:r/>
            <w:r>
              <w:rPr>
                <w:b w:val="0"/>
                <w:sz w:val="17"/>
              </w:rPr>
              <w:t>nirK</w:t>
            </w:r>
          </w:p>
        </w:tc>
        <w:tc>
          <w:tcPr>
            <w:tcW w:type="dxa" w:w="2448"/>
          </w:tcPr>
          <w:p>
            <w:r/>
            <w:r>
              <w:rPr>
                <w:b w:val="0"/>
                <w:sz w:val="17"/>
              </w:rPr>
              <w:t>K00368</w:t>
            </w:r>
          </w:p>
        </w:tc>
        <w:tc>
          <w:tcPr>
            <w:tcW w:type="dxa" w:w="3168"/>
          </w:tcPr>
          <w:p>
            <w:r/>
            <w:r>
              <w:rPr>
                <w:b w:val="0"/>
                <w:sz w:val="17"/>
              </w:rPr>
              <w:t>Copper-containing nitrite reductase</w:t>
            </w:r>
          </w:p>
        </w:tc>
      </w:tr>
      <w:tr>
        <w:tc>
          <w:tcPr>
            <w:tcW w:type="dxa" w:w="2448"/>
          </w:tcPr>
          <w:p>
            <w:r/>
            <w:r>
              <w:rPr>
                <w:b w:val="0"/>
                <w:sz w:val="17"/>
              </w:rPr>
              <w:t>Denitrification (NO→N₂O)</w:t>
            </w:r>
          </w:p>
        </w:tc>
        <w:tc>
          <w:tcPr>
            <w:tcW w:type="dxa" w:w="1584"/>
          </w:tcPr>
          <w:p>
            <w:r/>
            <w:r>
              <w:rPr>
                <w:b w:val="0"/>
                <w:sz w:val="17"/>
              </w:rPr>
              <w:t>norBC</w:t>
            </w:r>
          </w:p>
        </w:tc>
        <w:tc>
          <w:tcPr>
            <w:tcW w:type="dxa" w:w="2448"/>
          </w:tcPr>
          <w:p>
            <w:r/>
            <w:r>
              <w:rPr>
                <w:b w:val="0"/>
                <w:sz w:val="17"/>
              </w:rPr>
              <w:t>K04561 (norB), K02305 (norC)</w:t>
            </w:r>
          </w:p>
        </w:tc>
        <w:tc>
          <w:tcPr>
            <w:tcW w:type="dxa" w:w="3168"/>
          </w:tcPr>
          <w:p>
            <w:r/>
            <w:r>
              <w:rPr>
                <w:b w:val="0"/>
                <w:sz w:val="17"/>
              </w:rPr>
              <w:t>cNOR nitric oxide reductase</w:t>
            </w:r>
          </w:p>
        </w:tc>
      </w:tr>
      <w:tr>
        <w:tc>
          <w:tcPr>
            <w:tcW w:type="dxa" w:w="2448"/>
          </w:tcPr>
          <w:p>
            <w:r/>
            <w:r>
              <w:rPr>
                <w:b w:val="0"/>
                <w:sz w:val="17"/>
              </w:rPr>
              <w:t>Denitrification (N₂O→N₂)</w:t>
            </w:r>
          </w:p>
        </w:tc>
        <w:tc>
          <w:tcPr>
            <w:tcW w:type="dxa" w:w="1584"/>
          </w:tcPr>
          <w:p>
            <w:r/>
            <w:r>
              <w:rPr>
                <w:b w:val="0"/>
                <w:sz w:val="17"/>
              </w:rPr>
              <w:t>nosZ</w:t>
            </w:r>
          </w:p>
        </w:tc>
        <w:tc>
          <w:tcPr>
            <w:tcW w:type="dxa" w:w="2448"/>
          </w:tcPr>
          <w:p>
            <w:r/>
            <w:r>
              <w:rPr>
                <w:b w:val="0"/>
                <w:sz w:val="17"/>
              </w:rPr>
              <w:t>K00376</w:t>
            </w:r>
          </w:p>
        </w:tc>
        <w:tc>
          <w:tcPr>
            <w:tcW w:type="dxa" w:w="3168"/>
          </w:tcPr>
          <w:p>
            <w:r/>
            <w:r>
              <w:rPr>
                <w:b w:val="0"/>
                <w:sz w:val="17"/>
              </w:rPr>
              <w:t>Nitrous oxide reductase (clades I &amp; II; C-NosZ)</w:t>
            </w:r>
          </w:p>
        </w:tc>
      </w:tr>
      <w:tr>
        <w:tc>
          <w:tcPr>
            <w:tcW w:type="dxa" w:w="2448"/>
          </w:tcPr>
          <w:p>
            <w:r/>
            <w:r>
              <w:rPr>
                <w:b w:val="0"/>
                <w:sz w:val="17"/>
              </w:rPr>
              <w:t>NO reduction (quinol)</w:t>
            </w:r>
          </w:p>
        </w:tc>
        <w:tc>
          <w:tcPr>
            <w:tcW w:type="dxa" w:w="1584"/>
          </w:tcPr>
          <w:p>
            <w:r/>
            <w:r>
              <w:rPr>
                <w:b w:val="0"/>
                <w:sz w:val="17"/>
              </w:rPr>
              <w:t>qNOR / norZ</w:t>
            </w:r>
          </w:p>
        </w:tc>
        <w:tc>
          <w:tcPr>
            <w:tcW w:type="dxa" w:w="2448"/>
          </w:tcPr>
          <w:p>
            <w:r/>
            <w:r>
              <w:rPr>
                <w:b w:val="0"/>
                <w:sz w:val="17"/>
              </w:rPr>
              <w:t>K11188</w:t>
            </w:r>
          </w:p>
        </w:tc>
        <w:tc>
          <w:tcPr>
            <w:tcW w:type="dxa" w:w="3168"/>
          </w:tcPr>
          <w:p>
            <w:r/>
            <w:r>
              <w:rPr>
                <w:b w:val="0"/>
                <w:sz w:val="17"/>
              </w:rPr>
              <w:t>Quinol-dependent NOR — not detected</w:t>
            </w:r>
          </w:p>
        </w:tc>
      </w:tr>
    </w:tbl>
    <w:p/>
    <w:p>
      <w:pPr>
        <w:spacing w:before="80"/>
      </w:pPr>
      <w:r>
        <w:rPr>
          <w:b/>
          <w:sz w:val="18"/>
        </w:rPr>
        <w:t xml:space="preserve">Table 2. </w:t>
      </w:r>
      <w:r>
        <w:rPr>
          <w:i/>
          <w:sz w:val="18"/>
        </w:rPr>
        <w:t>Community-level abundance (Σ RPKM across the 19 focal MAGs) of each denitrification/DNRA gene across the CAN_1–CAN_5 time series. "MAGs" = number of focal MAGs carrying the gene.</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9E2F3"/>
          </w:tcPr>
          <w:p>
            <w:r/>
            <w:r>
              <w:rPr>
                <w:b/>
                <w:sz w:val="17"/>
              </w:rPr>
              <w:t>Gene</w:t>
            </w:r>
          </w:p>
        </w:tc>
        <w:tc>
          <w:tcPr>
            <w:tcW w:type="dxa" w:w="1080"/>
            <w:shd w:val="clear" w:color="auto" w:fill="D9E2F3"/>
          </w:tcPr>
          <w:p>
            <w:r/>
            <w:r>
              <w:rPr>
                <w:b/>
                <w:sz w:val="17"/>
              </w:rPr>
              <w:t>N-step</w:t>
            </w:r>
          </w:p>
        </w:tc>
        <w:tc>
          <w:tcPr>
            <w:tcW w:type="dxa" w:w="1080"/>
            <w:shd w:val="clear" w:color="auto" w:fill="D9E2F3"/>
          </w:tcPr>
          <w:p>
            <w:r/>
            <w:r>
              <w:rPr>
                <w:b/>
                <w:sz w:val="17"/>
              </w:rPr>
              <w:t>CAN_1</w:t>
            </w:r>
          </w:p>
        </w:tc>
        <w:tc>
          <w:tcPr>
            <w:tcW w:type="dxa" w:w="1080"/>
            <w:shd w:val="clear" w:color="auto" w:fill="D9E2F3"/>
          </w:tcPr>
          <w:p>
            <w:r/>
            <w:r>
              <w:rPr>
                <w:b/>
                <w:sz w:val="17"/>
              </w:rPr>
              <w:t>CAN_2</w:t>
            </w:r>
          </w:p>
        </w:tc>
        <w:tc>
          <w:tcPr>
            <w:tcW w:type="dxa" w:w="1080"/>
            <w:shd w:val="clear" w:color="auto" w:fill="D9E2F3"/>
          </w:tcPr>
          <w:p>
            <w:r/>
            <w:r>
              <w:rPr>
                <w:b/>
                <w:sz w:val="17"/>
              </w:rPr>
              <w:t>CAN_3</w:t>
            </w:r>
          </w:p>
        </w:tc>
        <w:tc>
          <w:tcPr>
            <w:tcW w:type="dxa" w:w="1080"/>
            <w:shd w:val="clear" w:color="auto" w:fill="D9E2F3"/>
          </w:tcPr>
          <w:p>
            <w:r/>
            <w:r>
              <w:rPr>
                <w:b/>
                <w:sz w:val="17"/>
              </w:rPr>
              <w:t>CAN_4</w:t>
            </w:r>
          </w:p>
        </w:tc>
        <w:tc>
          <w:tcPr>
            <w:tcW w:type="dxa" w:w="1080"/>
            <w:shd w:val="clear" w:color="auto" w:fill="D9E2F3"/>
          </w:tcPr>
          <w:p>
            <w:r/>
            <w:r>
              <w:rPr>
                <w:b/>
                <w:sz w:val="17"/>
              </w:rPr>
              <w:t>CAN_5</w:t>
            </w:r>
          </w:p>
        </w:tc>
        <w:tc>
          <w:tcPr>
            <w:tcW w:type="dxa" w:w="1080"/>
            <w:shd w:val="clear" w:color="auto" w:fill="D9E2F3"/>
          </w:tcPr>
          <w:p>
            <w:r/>
            <w:r>
              <w:rPr>
                <w:b/>
                <w:sz w:val="17"/>
              </w:rPr>
              <w:t>MAGs</w:t>
            </w:r>
          </w:p>
        </w:tc>
      </w:tr>
      <w:tr>
        <w:tc>
          <w:tcPr>
            <w:tcW w:type="dxa" w:w="1080"/>
          </w:tcPr>
          <w:p>
            <w:r/>
            <w:r>
              <w:rPr>
                <w:b w:val="0"/>
                <w:sz w:val="17"/>
              </w:rPr>
              <w:t>nar</w:t>
            </w:r>
          </w:p>
        </w:tc>
        <w:tc>
          <w:tcPr>
            <w:tcW w:type="dxa" w:w="1080"/>
          </w:tcPr>
          <w:p>
            <w:r/>
            <w:r>
              <w:rPr>
                <w:b w:val="0"/>
                <w:sz w:val="17"/>
              </w:rPr>
              <w:t>Nitrate reduction</w:t>
            </w:r>
          </w:p>
        </w:tc>
        <w:tc>
          <w:tcPr>
            <w:tcW w:type="dxa" w:w="1080"/>
          </w:tcPr>
          <w:p>
            <w:r/>
            <w:r>
              <w:rPr>
                <w:b w:val="0"/>
                <w:sz w:val="17"/>
              </w:rPr>
              <w:t>345</w:t>
            </w:r>
          </w:p>
        </w:tc>
        <w:tc>
          <w:tcPr>
            <w:tcW w:type="dxa" w:w="1080"/>
          </w:tcPr>
          <w:p>
            <w:r/>
            <w:r>
              <w:rPr>
                <w:b w:val="0"/>
                <w:sz w:val="17"/>
              </w:rPr>
              <w:t>355</w:t>
            </w:r>
          </w:p>
        </w:tc>
        <w:tc>
          <w:tcPr>
            <w:tcW w:type="dxa" w:w="1080"/>
          </w:tcPr>
          <w:p>
            <w:r/>
            <w:r>
              <w:rPr>
                <w:b w:val="0"/>
                <w:sz w:val="17"/>
              </w:rPr>
              <w:t>367</w:t>
            </w:r>
          </w:p>
        </w:tc>
        <w:tc>
          <w:tcPr>
            <w:tcW w:type="dxa" w:w="1080"/>
          </w:tcPr>
          <w:p>
            <w:r/>
            <w:r>
              <w:rPr>
                <w:b w:val="0"/>
                <w:sz w:val="17"/>
              </w:rPr>
              <w:t>208</w:t>
            </w:r>
          </w:p>
        </w:tc>
        <w:tc>
          <w:tcPr>
            <w:tcW w:type="dxa" w:w="1080"/>
          </w:tcPr>
          <w:p>
            <w:r/>
            <w:r>
              <w:rPr>
                <w:b w:val="0"/>
                <w:sz w:val="17"/>
              </w:rPr>
              <w:t>130</w:t>
            </w:r>
          </w:p>
        </w:tc>
        <w:tc>
          <w:tcPr>
            <w:tcW w:type="dxa" w:w="1080"/>
          </w:tcPr>
          <w:p>
            <w:r/>
            <w:r>
              <w:rPr>
                <w:b w:val="0"/>
                <w:sz w:val="17"/>
              </w:rPr>
              <w:t>3</w:t>
            </w:r>
          </w:p>
        </w:tc>
      </w:tr>
      <w:tr>
        <w:tc>
          <w:tcPr>
            <w:tcW w:type="dxa" w:w="1080"/>
          </w:tcPr>
          <w:p>
            <w:r/>
            <w:r>
              <w:rPr>
                <w:b w:val="0"/>
                <w:sz w:val="17"/>
              </w:rPr>
              <w:t>nap</w:t>
            </w:r>
          </w:p>
        </w:tc>
        <w:tc>
          <w:tcPr>
            <w:tcW w:type="dxa" w:w="1080"/>
          </w:tcPr>
          <w:p>
            <w:r/>
            <w:r>
              <w:rPr>
                <w:b w:val="0"/>
                <w:sz w:val="17"/>
              </w:rPr>
              <w:t>Nitrate reduction</w:t>
            </w:r>
          </w:p>
        </w:tc>
        <w:tc>
          <w:tcPr>
            <w:tcW w:type="dxa" w:w="1080"/>
          </w:tcPr>
          <w:p>
            <w:r/>
            <w:r>
              <w:rPr>
                <w:b w:val="0"/>
                <w:sz w:val="17"/>
              </w:rPr>
              <w:t>355</w:t>
            </w:r>
          </w:p>
        </w:tc>
        <w:tc>
          <w:tcPr>
            <w:tcW w:type="dxa" w:w="1080"/>
          </w:tcPr>
          <w:p>
            <w:r/>
            <w:r>
              <w:rPr>
                <w:b w:val="0"/>
                <w:sz w:val="17"/>
              </w:rPr>
              <w:t>416</w:t>
            </w:r>
          </w:p>
        </w:tc>
        <w:tc>
          <w:tcPr>
            <w:tcW w:type="dxa" w:w="1080"/>
          </w:tcPr>
          <w:p>
            <w:r/>
            <w:r>
              <w:rPr>
                <w:b w:val="0"/>
                <w:sz w:val="17"/>
              </w:rPr>
              <w:t>414</w:t>
            </w:r>
          </w:p>
        </w:tc>
        <w:tc>
          <w:tcPr>
            <w:tcW w:type="dxa" w:w="1080"/>
          </w:tcPr>
          <w:p>
            <w:r/>
            <w:r>
              <w:rPr>
                <w:b w:val="0"/>
                <w:sz w:val="17"/>
              </w:rPr>
              <w:t>473</w:t>
            </w:r>
          </w:p>
        </w:tc>
        <w:tc>
          <w:tcPr>
            <w:tcW w:type="dxa" w:w="1080"/>
          </w:tcPr>
          <w:p>
            <w:r/>
            <w:r>
              <w:rPr>
                <w:b w:val="0"/>
                <w:sz w:val="17"/>
              </w:rPr>
              <w:t>545</w:t>
            </w:r>
          </w:p>
        </w:tc>
        <w:tc>
          <w:tcPr>
            <w:tcW w:type="dxa" w:w="1080"/>
          </w:tcPr>
          <w:p>
            <w:r/>
            <w:r>
              <w:rPr>
                <w:b w:val="0"/>
                <w:sz w:val="17"/>
              </w:rPr>
              <w:t>6</w:t>
            </w:r>
          </w:p>
        </w:tc>
      </w:tr>
      <w:tr>
        <w:tc>
          <w:tcPr>
            <w:tcW w:type="dxa" w:w="1080"/>
          </w:tcPr>
          <w:p>
            <w:r/>
            <w:r>
              <w:rPr>
                <w:b w:val="0"/>
                <w:sz w:val="17"/>
              </w:rPr>
              <w:t>nirB/D</w:t>
            </w:r>
          </w:p>
        </w:tc>
        <w:tc>
          <w:tcPr>
            <w:tcW w:type="dxa" w:w="1080"/>
          </w:tcPr>
          <w:p>
            <w:r/>
            <w:r>
              <w:rPr>
                <w:b w:val="0"/>
                <w:sz w:val="17"/>
              </w:rPr>
              <w:t>DNRA</w:t>
            </w:r>
          </w:p>
        </w:tc>
        <w:tc>
          <w:tcPr>
            <w:tcW w:type="dxa" w:w="1080"/>
          </w:tcPr>
          <w:p>
            <w:r/>
            <w:r>
              <w:rPr>
                <w:b w:val="0"/>
                <w:sz w:val="17"/>
              </w:rPr>
              <w:t>441</w:t>
            </w:r>
          </w:p>
        </w:tc>
        <w:tc>
          <w:tcPr>
            <w:tcW w:type="dxa" w:w="1080"/>
          </w:tcPr>
          <w:p>
            <w:r/>
            <w:r>
              <w:rPr>
                <w:b w:val="0"/>
                <w:sz w:val="17"/>
              </w:rPr>
              <w:t>433</w:t>
            </w:r>
          </w:p>
        </w:tc>
        <w:tc>
          <w:tcPr>
            <w:tcW w:type="dxa" w:w="1080"/>
          </w:tcPr>
          <w:p>
            <w:r/>
            <w:r>
              <w:rPr>
                <w:b w:val="0"/>
                <w:sz w:val="17"/>
              </w:rPr>
              <w:t>432</w:t>
            </w:r>
          </w:p>
        </w:tc>
        <w:tc>
          <w:tcPr>
            <w:tcW w:type="dxa" w:w="1080"/>
          </w:tcPr>
          <w:p>
            <w:r/>
            <w:r>
              <w:rPr>
                <w:b w:val="0"/>
                <w:sz w:val="17"/>
              </w:rPr>
              <w:t>400</w:t>
            </w:r>
          </w:p>
        </w:tc>
        <w:tc>
          <w:tcPr>
            <w:tcW w:type="dxa" w:w="1080"/>
          </w:tcPr>
          <w:p>
            <w:r/>
            <w:r>
              <w:rPr>
                <w:b w:val="0"/>
                <w:sz w:val="17"/>
              </w:rPr>
              <w:t>306</w:t>
            </w:r>
          </w:p>
        </w:tc>
        <w:tc>
          <w:tcPr>
            <w:tcW w:type="dxa" w:w="1080"/>
          </w:tcPr>
          <w:p>
            <w:r/>
            <w:r>
              <w:rPr>
                <w:b w:val="0"/>
                <w:sz w:val="17"/>
              </w:rPr>
              <w:t>10</w:t>
            </w:r>
          </w:p>
        </w:tc>
      </w:tr>
      <w:tr>
        <w:tc>
          <w:tcPr>
            <w:tcW w:type="dxa" w:w="1080"/>
          </w:tcPr>
          <w:p>
            <w:r/>
            <w:r>
              <w:rPr>
                <w:b w:val="0"/>
                <w:sz w:val="17"/>
              </w:rPr>
              <w:t>nirS</w:t>
            </w:r>
          </w:p>
        </w:tc>
        <w:tc>
          <w:tcPr>
            <w:tcW w:type="dxa" w:w="1080"/>
          </w:tcPr>
          <w:p>
            <w:r/>
            <w:r>
              <w:rPr>
                <w:b w:val="0"/>
                <w:sz w:val="17"/>
              </w:rPr>
              <w:t>Denitrification</w:t>
            </w:r>
          </w:p>
        </w:tc>
        <w:tc>
          <w:tcPr>
            <w:tcW w:type="dxa" w:w="1080"/>
          </w:tcPr>
          <w:p>
            <w:r/>
            <w:r>
              <w:rPr>
                <w:b w:val="0"/>
                <w:sz w:val="17"/>
              </w:rPr>
              <w:t>245</w:t>
            </w:r>
          </w:p>
        </w:tc>
        <w:tc>
          <w:tcPr>
            <w:tcW w:type="dxa" w:w="1080"/>
          </w:tcPr>
          <w:p>
            <w:r/>
            <w:r>
              <w:rPr>
                <w:b w:val="0"/>
                <w:sz w:val="17"/>
              </w:rPr>
              <w:t>304</w:t>
            </w:r>
          </w:p>
        </w:tc>
        <w:tc>
          <w:tcPr>
            <w:tcW w:type="dxa" w:w="1080"/>
          </w:tcPr>
          <w:p>
            <w:r/>
            <w:r>
              <w:rPr>
                <w:b w:val="0"/>
                <w:sz w:val="17"/>
              </w:rPr>
              <w:t>305</w:t>
            </w:r>
          </w:p>
        </w:tc>
        <w:tc>
          <w:tcPr>
            <w:tcW w:type="dxa" w:w="1080"/>
          </w:tcPr>
          <w:p>
            <w:r/>
            <w:r>
              <w:rPr>
                <w:b w:val="0"/>
                <w:sz w:val="17"/>
              </w:rPr>
              <w:t>308</w:t>
            </w:r>
          </w:p>
        </w:tc>
        <w:tc>
          <w:tcPr>
            <w:tcW w:type="dxa" w:w="1080"/>
          </w:tcPr>
          <w:p>
            <w:r/>
            <w:r>
              <w:rPr>
                <w:b w:val="0"/>
                <w:sz w:val="17"/>
              </w:rPr>
              <w:t>294</w:t>
            </w:r>
          </w:p>
        </w:tc>
        <w:tc>
          <w:tcPr>
            <w:tcW w:type="dxa" w:w="1080"/>
          </w:tcPr>
          <w:p>
            <w:r/>
            <w:r>
              <w:rPr>
                <w:b w:val="0"/>
                <w:sz w:val="17"/>
              </w:rPr>
              <w:t>9</w:t>
            </w:r>
          </w:p>
        </w:tc>
      </w:tr>
      <w:tr>
        <w:tc>
          <w:tcPr>
            <w:tcW w:type="dxa" w:w="1080"/>
          </w:tcPr>
          <w:p>
            <w:r/>
            <w:r>
              <w:rPr>
                <w:b w:val="0"/>
                <w:sz w:val="17"/>
              </w:rPr>
              <w:t>nirK</w:t>
            </w:r>
          </w:p>
        </w:tc>
        <w:tc>
          <w:tcPr>
            <w:tcW w:type="dxa" w:w="1080"/>
          </w:tcPr>
          <w:p>
            <w:r/>
            <w:r>
              <w:rPr>
                <w:b w:val="0"/>
                <w:sz w:val="17"/>
              </w:rPr>
              <w:t>Denitrification</w:t>
            </w:r>
          </w:p>
        </w:tc>
        <w:tc>
          <w:tcPr>
            <w:tcW w:type="dxa" w:w="1080"/>
          </w:tcPr>
          <w:p>
            <w:r/>
            <w:r>
              <w:rPr>
                <w:b w:val="0"/>
                <w:sz w:val="17"/>
              </w:rPr>
              <w:t>51</w:t>
            </w:r>
          </w:p>
        </w:tc>
        <w:tc>
          <w:tcPr>
            <w:tcW w:type="dxa" w:w="1080"/>
          </w:tcPr>
          <w:p>
            <w:r/>
            <w:r>
              <w:rPr>
                <w:b w:val="0"/>
                <w:sz w:val="17"/>
              </w:rPr>
              <w:t>68</w:t>
            </w:r>
          </w:p>
        </w:tc>
        <w:tc>
          <w:tcPr>
            <w:tcW w:type="dxa" w:w="1080"/>
          </w:tcPr>
          <w:p>
            <w:r/>
            <w:r>
              <w:rPr>
                <w:b w:val="0"/>
                <w:sz w:val="17"/>
              </w:rPr>
              <w:t>75</w:t>
            </w:r>
          </w:p>
        </w:tc>
        <w:tc>
          <w:tcPr>
            <w:tcW w:type="dxa" w:w="1080"/>
          </w:tcPr>
          <w:p>
            <w:r/>
            <w:r>
              <w:rPr>
                <w:b w:val="0"/>
                <w:sz w:val="17"/>
              </w:rPr>
              <w:t>18</w:t>
            </w:r>
          </w:p>
        </w:tc>
        <w:tc>
          <w:tcPr>
            <w:tcW w:type="dxa" w:w="1080"/>
          </w:tcPr>
          <w:p>
            <w:r/>
            <w:r>
              <w:rPr>
                <w:b w:val="0"/>
                <w:sz w:val="17"/>
              </w:rPr>
              <w:t>3</w:t>
            </w:r>
          </w:p>
        </w:tc>
        <w:tc>
          <w:tcPr>
            <w:tcW w:type="dxa" w:w="1080"/>
          </w:tcPr>
          <w:p>
            <w:r/>
            <w:r>
              <w:rPr>
                <w:b w:val="0"/>
                <w:sz w:val="17"/>
              </w:rPr>
              <w:t>2</w:t>
            </w:r>
          </w:p>
        </w:tc>
      </w:tr>
      <w:tr>
        <w:tc>
          <w:tcPr>
            <w:tcW w:type="dxa" w:w="1080"/>
          </w:tcPr>
          <w:p>
            <w:r/>
            <w:r>
              <w:rPr>
                <w:b w:val="0"/>
                <w:sz w:val="17"/>
              </w:rPr>
              <w:t>norC</w:t>
            </w:r>
          </w:p>
        </w:tc>
        <w:tc>
          <w:tcPr>
            <w:tcW w:type="dxa" w:w="1080"/>
          </w:tcPr>
          <w:p>
            <w:r/>
            <w:r>
              <w:rPr>
                <w:b w:val="0"/>
                <w:sz w:val="17"/>
              </w:rPr>
              <w:t>Denitrification</w:t>
            </w:r>
          </w:p>
        </w:tc>
        <w:tc>
          <w:tcPr>
            <w:tcW w:type="dxa" w:w="1080"/>
          </w:tcPr>
          <w:p>
            <w:r/>
            <w:r>
              <w:rPr>
                <w:b w:val="0"/>
                <w:sz w:val="17"/>
              </w:rPr>
              <w:t>1122</w:t>
            </w:r>
          </w:p>
        </w:tc>
        <w:tc>
          <w:tcPr>
            <w:tcW w:type="dxa" w:w="1080"/>
          </w:tcPr>
          <w:p>
            <w:r/>
            <w:r>
              <w:rPr>
                <w:b w:val="0"/>
                <w:sz w:val="17"/>
              </w:rPr>
              <w:t>1266</w:t>
            </w:r>
          </w:p>
        </w:tc>
        <w:tc>
          <w:tcPr>
            <w:tcW w:type="dxa" w:w="1080"/>
          </w:tcPr>
          <w:p>
            <w:r/>
            <w:r>
              <w:rPr>
                <w:b w:val="0"/>
                <w:sz w:val="17"/>
              </w:rPr>
              <w:t>1316</w:t>
            </w:r>
          </w:p>
        </w:tc>
        <w:tc>
          <w:tcPr>
            <w:tcW w:type="dxa" w:w="1080"/>
          </w:tcPr>
          <w:p>
            <w:r/>
            <w:r>
              <w:rPr>
                <w:b w:val="0"/>
                <w:sz w:val="17"/>
              </w:rPr>
              <w:t>621</w:t>
            </w:r>
          </w:p>
        </w:tc>
        <w:tc>
          <w:tcPr>
            <w:tcW w:type="dxa" w:w="1080"/>
          </w:tcPr>
          <w:p>
            <w:r/>
            <w:r>
              <w:rPr>
                <w:b w:val="0"/>
                <w:sz w:val="17"/>
              </w:rPr>
              <w:t>567</w:t>
            </w:r>
          </w:p>
        </w:tc>
        <w:tc>
          <w:tcPr>
            <w:tcW w:type="dxa" w:w="1080"/>
          </w:tcPr>
          <w:p>
            <w:r/>
            <w:r>
              <w:rPr>
                <w:b w:val="0"/>
                <w:sz w:val="17"/>
              </w:rPr>
              <w:t>10</w:t>
            </w:r>
          </w:p>
        </w:tc>
      </w:tr>
      <w:tr>
        <w:tc>
          <w:tcPr>
            <w:tcW w:type="dxa" w:w="1080"/>
          </w:tcPr>
          <w:p>
            <w:r/>
            <w:r>
              <w:rPr>
                <w:b w:val="0"/>
                <w:sz w:val="17"/>
              </w:rPr>
              <w:t>nosZ I</w:t>
            </w:r>
          </w:p>
        </w:tc>
        <w:tc>
          <w:tcPr>
            <w:tcW w:type="dxa" w:w="1080"/>
          </w:tcPr>
          <w:p>
            <w:r/>
            <w:r>
              <w:rPr>
                <w:b w:val="0"/>
                <w:sz w:val="17"/>
              </w:rPr>
              <w:t>Denitrification</w:t>
            </w:r>
          </w:p>
        </w:tc>
        <w:tc>
          <w:tcPr>
            <w:tcW w:type="dxa" w:w="1080"/>
          </w:tcPr>
          <w:p>
            <w:r/>
            <w:r>
              <w:rPr>
                <w:b w:val="0"/>
                <w:sz w:val="17"/>
              </w:rPr>
              <w:t>5</w:t>
            </w:r>
          </w:p>
        </w:tc>
        <w:tc>
          <w:tcPr>
            <w:tcW w:type="dxa" w:w="1080"/>
          </w:tcPr>
          <w:p>
            <w:r/>
            <w:r>
              <w:rPr>
                <w:b w:val="0"/>
                <w:sz w:val="17"/>
              </w:rPr>
              <w:t>7</w:t>
            </w:r>
          </w:p>
        </w:tc>
        <w:tc>
          <w:tcPr>
            <w:tcW w:type="dxa" w:w="1080"/>
          </w:tcPr>
          <w:p>
            <w:r/>
            <w:r>
              <w:rPr>
                <w:b w:val="0"/>
                <w:sz w:val="17"/>
              </w:rPr>
              <w:t>6</w:t>
            </w:r>
          </w:p>
        </w:tc>
        <w:tc>
          <w:tcPr>
            <w:tcW w:type="dxa" w:w="1080"/>
          </w:tcPr>
          <w:p>
            <w:r/>
            <w:r>
              <w:rPr>
                <w:b w:val="0"/>
                <w:sz w:val="17"/>
              </w:rPr>
              <w:t>35</w:t>
            </w:r>
          </w:p>
        </w:tc>
        <w:tc>
          <w:tcPr>
            <w:tcW w:type="dxa" w:w="1080"/>
          </w:tcPr>
          <w:p>
            <w:r/>
            <w:r>
              <w:rPr>
                <w:b w:val="0"/>
                <w:sz w:val="17"/>
              </w:rPr>
              <w:t>30</w:t>
            </w:r>
          </w:p>
        </w:tc>
        <w:tc>
          <w:tcPr>
            <w:tcW w:type="dxa" w:w="1080"/>
          </w:tcPr>
          <w:p>
            <w:r/>
            <w:r>
              <w:rPr>
                <w:b w:val="0"/>
                <w:sz w:val="17"/>
              </w:rPr>
              <w:t>1</w:t>
            </w:r>
          </w:p>
        </w:tc>
      </w:tr>
      <w:tr>
        <w:tc>
          <w:tcPr>
            <w:tcW w:type="dxa" w:w="1080"/>
          </w:tcPr>
          <w:p>
            <w:r/>
            <w:r>
              <w:rPr>
                <w:b w:val="0"/>
                <w:sz w:val="17"/>
              </w:rPr>
              <w:t>nosZ II</w:t>
            </w:r>
          </w:p>
        </w:tc>
        <w:tc>
          <w:tcPr>
            <w:tcW w:type="dxa" w:w="1080"/>
          </w:tcPr>
          <w:p>
            <w:r/>
            <w:r>
              <w:rPr>
                <w:b w:val="0"/>
                <w:sz w:val="17"/>
              </w:rPr>
              <w:t>Denitrification</w:t>
            </w:r>
          </w:p>
        </w:tc>
        <w:tc>
          <w:tcPr>
            <w:tcW w:type="dxa" w:w="1080"/>
          </w:tcPr>
          <w:p>
            <w:r/>
            <w:r>
              <w:rPr>
                <w:b w:val="0"/>
                <w:sz w:val="17"/>
              </w:rPr>
              <w:t>232</w:t>
            </w:r>
          </w:p>
        </w:tc>
        <w:tc>
          <w:tcPr>
            <w:tcW w:type="dxa" w:w="1080"/>
          </w:tcPr>
          <w:p>
            <w:r/>
            <w:r>
              <w:rPr>
                <w:b w:val="0"/>
                <w:sz w:val="17"/>
              </w:rPr>
              <w:t>229</w:t>
            </w:r>
          </w:p>
        </w:tc>
        <w:tc>
          <w:tcPr>
            <w:tcW w:type="dxa" w:w="1080"/>
          </w:tcPr>
          <w:p>
            <w:r/>
            <w:r>
              <w:rPr>
                <w:b w:val="0"/>
                <w:sz w:val="17"/>
              </w:rPr>
              <w:t>230</w:t>
            </w:r>
          </w:p>
        </w:tc>
        <w:tc>
          <w:tcPr>
            <w:tcW w:type="dxa" w:w="1080"/>
          </w:tcPr>
          <w:p>
            <w:r/>
            <w:r>
              <w:rPr>
                <w:b w:val="0"/>
                <w:sz w:val="17"/>
              </w:rPr>
              <w:t>300</w:t>
            </w:r>
          </w:p>
        </w:tc>
        <w:tc>
          <w:tcPr>
            <w:tcW w:type="dxa" w:w="1080"/>
          </w:tcPr>
          <w:p>
            <w:r/>
            <w:r>
              <w:rPr>
                <w:b w:val="0"/>
                <w:sz w:val="17"/>
              </w:rPr>
              <w:t>318</w:t>
            </w:r>
          </w:p>
        </w:tc>
        <w:tc>
          <w:tcPr>
            <w:tcW w:type="dxa" w:w="1080"/>
          </w:tcPr>
          <w:p>
            <w:r/>
            <w:r>
              <w:rPr>
                <w:b w:val="0"/>
                <w:sz w:val="17"/>
              </w:rPr>
              <w:t>12</w:t>
            </w:r>
          </w:p>
        </w:tc>
      </w:tr>
    </w:tbl>
    <w:p/>
    <w:p>
      <w:pPr>
        <w:spacing w:before="80"/>
      </w:pPr>
      <w:r>
        <w:rPr>
          <w:b/>
          <w:sz w:val="18"/>
        </w:rPr>
        <w:t xml:space="preserve">Table 3. </w:t>
      </w:r>
      <w:r>
        <w:rPr>
          <w:i/>
          <w:sz w:val="18"/>
        </w:rPr>
        <w:t>nosZ (K00376) clade assignments for the 13 MAG-encoded genes: nucleotide-HMM call (with confidence) vs DIAMOND best-hit (taxonomy-informed) call, and their agreement. Disagreements concentrate on reference subclade II.D.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728"/>
            <w:shd w:val="clear" w:color="auto" w:fill="D9E2F3"/>
          </w:tcPr>
          <w:p>
            <w:r/>
            <w:r>
              <w:rPr>
                <w:b/>
                <w:sz w:val="16"/>
              </w:rPr>
              <w:t>MAG</w:t>
            </w:r>
          </w:p>
        </w:tc>
        <w:tc>
          <w:tcPr>
            <w:tcW w:type="dxa" w:w="1728"/>
            <w:shd w:val="clear" w:color="auto" w:fill="D9E2F3"/>
          </w:tcPr>
          <w:p>
            <w:r/>
            <w:r>
              <w:rPr>
                <w:b/>
                <w:sz w:val="16"/>
              </w:rPr>
              <w:t>Genus</w:t>
            </w:r>
          </w:p>
        </w:tc>
        <w:tc>
          <w:tcPr>
            <w:tcW w:type="dxa" w:w="1440"/>
            <w:shd w:val="clear" w:color="auto" w:fill="D9E2F3"/>
          </w:tcPr>
          <w:p>
            <w:r/>
            <w:r>
              <w:rPr>
                <w:b/>
                <w:sz w:val="16"/>
              </w:rPr>
              <w:t>HMM call</w:t>
            </w:r>
          </w:p>
        </w:tc>
        <w:tc>
          <w:tcPr>
            <w:tcW w:type="dxa" w:w="3312"/>
            <w:shd w:val="clear" w:color="auto" w:fill="D9E2F3"/>
          </w:tcPr>
          <w:p>
            <w:r/>
            <w:r>
              <w:rPr>
                <w:b/>
                <w:sz w:val="16"/>
              </w:rPr>
              <w:t>Diamond top hit</w:t>
            </w:r>
          </w:p>
        </w:tc>
        <w:tc>
          <w:tcPr>
            <w:tcW w:type="dxa" w:w="1008"/>
            <w:shd w:val="clear" w:color="auto" w:fill="D9E2F3"/>
          </w:tcPr>
          <w:p>
            <w:r/>
            <w:r>
              <w:rPr>
                <w:b/>
                <w:sz w:val="16"/>
              </w:rPr>
              <w:t>Dia. call</w:t>
            </w:r>
          </w:p>
        </w:tc>
        <w:tc>
          <w:tcPr>
            <w:tcW w:type="dxa" w:w="720"/>
            <w:shd w:val="clear" w:color="auto" w:fill="D9E2F3"/>
          </w:tcPr>
          <w:p>
            <w:r/>
            <w:r>
              <w:rPr>
                <w:b/>
                <w:sz w:val="16"/>
              </w:rPr>
              <w:t>Agree</w:t>
            </w:r>
          </w:p>
        </w:tc>
      </w:tr>
      <w:tr>
        <w:tc>
          <w:tcPr>
            <w:tcW w:type="dxa" w:w="1728"/>
          </w:tcPr>
          <w:p>
            <w:r/>
            <w:r>
              <w:rPr>
                <w:b w:val="0"/>
                <w:sz w:val="16"/>
              </w:rPr>
              <w:t>CAN_1_bin.77</w:t>
            </w:r>
          </w:p>
        </w:tc>
        <w:tc>
          <w:tcPr>
            <w:tcW w:type="dxa" w:w="1728"/>
          </w:tcPr>
          <w:p>
            <w:r/>
            <w:r>
              <w:rPr>
                <w:b w:val="0"/>
                <w:sz w:val="16"/>
              </w:rPr>
              <w:t>UBA5066</w:t>
            </w:r>
          </w:p>
        </w:tc>
        <w:tc>
          <w:tcPr>
            <w:tcW w:type="dxa" w:w="1440"/>
          </w:tcPr>
          <w:p>
            <w:r/>
            <w:r>
              <w:rPr>
                <w:b w:val="0"/>
                <w:sz w:val="16"/>
              </w:rPr>
              <w:t>II (high)</w:t>
            </w:r>
          </w:p>
        </w:tc>
        <w:tc>
          <w:tcPr>
            <w:tcW w:type="dxa" w:w="3312"/>
          </w:tcPr>
          <w:p>
            <w:r/>
            <w:r>
              <w:rPr>
                <w:b w:val="0"/>
                <w:sz w:val="16"/>
              </w:rPr>
              <w:t>Anaeromyxobacter sp. Fw109 81.1%</w:t>
            </w:r>
          </w:p>
        </w:tc>
        <w:tc>
          <w:tcPr>
            <w:tcW w:type="dxa" w:w="1008"/>
          </w:tcPr>
          <w:p>
            <w:r/>
            <w:r>
              <w:rPr>
                <w:b w:val="0"/>
                <w:sz w:val="16"/>
              </w:rPr>
              <w:t>II</w:t>
            </w:r>
          </w:p>
        </w:tc>
        <w:tc>
          <w:tcPr>
            <w:tcW w:type="dxa" w:w="720"/>
          </w:tcPr>
          <w:p>
            <w:r/>
            <w:r>
              <w:rPr>
                <w:b w:val="0"/>
                <w:sz w:val="16"/>
              </w:rPr>
              <w:t>✓</w:t>
            </w:r>
          </w:p>
        </w:tc>
      </w:tr>
      <w:tr>
        <w:tc>
          <w:tcPr>
            <w:tcW w:type="dxa" w:w="1728"/>
          </w:tcPr>
          <w:p>
            <w:r/>
            <w:r>
              <w:rPr>
                <w:b w:val="0"/>
                <w:sz w:val="16"/>
              </w:rPr>
              <w:t>CAN_1_bin.98</w:t>
            </w:r>
          </w:p>
        </w:tc>
        <w:tc>
          <w:tcPr>
            <w:tcW w:type="dxa" w:w="1728"/>
          </w:tcPr>
          <w:p>
            <w:r/>
            <w:r>
              <w:rPr>
                <w:b w:val="0"/>
                <w:sz w:val="16"/>
              </w:rPr>
              <w:t>Accumulibacter</w:t>
            </w:r>
          </w:p>
        </w:tc>
        <w:tc>
          <w:tcPr>
            <w:tcW w:type="dxa" w:w="1440"/>
          </w:tcPr>
          <w:p>
            <w:r/>
            <w:r>
              <w:rPr>
                <w:b w:val="0"/>
                <w:sz w:val="16"/>
              </w:rPr>
              <w:t>II (high)</w:t>
            </w:r>
          </w:p>
        </w:tc>
        <w:tc>
          <w:tcPr>
            <w:tcW w:type="dxa" w:w="3312"/>
          </w:tcPr>
          <w:p>
            <w:r/>
            <w:r>
              <w:rPr>
                <w:b w:val="0"/>
                <w:sz w:val="16"/>
              </w:rPr>
              <w:t>Candidatus Accumulibacter  92.0%</w:t>
            </w:r>
          </w:p>
        </w:tc>
        <w:tc>
          <w:tcPr>
            <w:tcW w:type="dxa" w:w="1008"/>
          </w:tcPr>
          <w:p>
            <w:r/>
            <w:r>
              <w:rPr>
                <w:b w:val="0"/>
                <w:sz w:val="16"/>
              </w:rPr>
              <w:t>I</w:t>
            </w:r>
          </w:p>
        </w:tc>
        <w:tc>
          <w:tcPr>
            <w:tcW w:type="dxa" w:w="720"/>
          </w:tcPr>
          <w:p>
            <w:r/>
            <w:r>
              <w:rPr>
                <w:b w:val="0"/>
                <w:sz w:val="16"/>
              </w:rPr>
              <w:t>✗</w:t>
            </w:r>
          </w:p>
        </w:tc>
      </w:tr>
      <w:tr>
        <w:tc>
          <w:tcPr>
            <w:tcW w:type="dxa" w:w="1728"/>
          </w:tcPr>
          <w:p>
            <w:r/>
            <w:r>
              <w:rPr>
                <w:b w:val="0"/>
                <w:sz w:val="16"/>
              </w:rPr>
              <w:t>CAN_2_bin.6</w:t>
            </w:r>
          </w:p>
        </w:tc>
        <w:tc>
          <w:tcPr>
            <w:tcW w:type="dxa" w:w="1728"/>
          </w:tcPr>
          <w:p>
            <w:r/>
            <w:r>
              <w:rPr>
                <w:b w:val="0"/>
                <w:sz w:val="16"/>
              </w:rPr>
              <w:t>Desulfobacillus</w:t>
            </w:r>
          </w:p>
        </w:tc>
        <w:tc>
          <w:tcPr>
            <w:tcW w:type="dxa" w:w="1440"/>
          </w:tcPr>
          <w:p>
            <w:r/>
            <w:r>
              <w:rPr>
                <w:b w:val="0"/>
                <w:sz w:val="16"/>
              </w:rPr>
              <w:t>II (high)</w:t>
            </w:r>
          </w:p>
        </w:tc>
        <w:tc>
          <w:tcPr>
            <w:tcW w:type="dxa" w:w="3312"/>
          </w:tcPr>
          <w:p>
            <w:r/>
            <w:r>
              <w:rPr>
                <w:b w:val="0"/>
                <w:sz w:val="16"/>
              </w:rPr>
              <w:t>Dechloromonas aromatica RC 86.4%</w:t>
            </w:r>
          </w:p>
        </w:tc>
        <w:tc>
          <w:tcPr>
            <w:tcW w:type="dxa" w:w="1008"/>
          </w:tcPr>
          <w:p>
            <w:r/>
            <w:r>
              <w:rPr>
                <w:b w:val="0"/>
                <w:sz w:val="16"/>
              </w:rPr>
              <w:t>I</w:t>
            </w:r>
          </w:p>
        </w:tc>
        <w:tc>
          <w:tcPr>
            <w:tcW w:type="dxa" w:w="720"/>
          </w:tcPr>
          <w:p>
            <w:r/>
            <w:r>
              <w:rPr>
                <w:b w:val="0"/>
                <w:sz w:val="16"/>
              </w:rPr>
              <w:t>✗</w:t>
            </w:r>
          </w:p>
        </w:tc>
      </w:tr>
      <w:tr>
        <w:tc>
          <w:tcPr>
            <w:tcW w:type="dxa" w:w="1728"/>
          </w:tcPr>
          <w:p>
            <w:r/>
            <w:r>
              <w:rPr>
                <w:b w:val="0"/>
                <w:sz w:val="16"/>
              </w:rPr>
              <w:t>CAN_3_bin.203</w:t>
            </w:r>
          </w:p>
        </w:tc>
        <w:tc>
          <w:tcPr>
            <w:tcW w:type="dxa" w:w="1728"/>
          </w:tcPr>
          <w:p>
            <w:r/>
            <w:r>
              <w:rPr>
                <w:b w:val="0"/>
                <w:sz w:val="16"/>
              </w:rPr>
              <w:t>JAEULV01</w:t>
            </w:r>
          </w:p>
        </w:tc>
        <w:tc>
          <w:tcPr>
            <w:tcW w:type="dxa" w:w="1440"/>
          </w:tcPr>
          <w:p>
            <w:r/>
            <w:r>
              <w:rPr>
                <w:b w:val="0"/>
                <w:sz w:val="16"/>
              </w:rPr>
              <w:t>II (high)</w:t>
            </w:r>
          </w:p>
        </w:tc>
        <w:tc>
          <w:tcPr>
            <w:tcW w:type="dxa" w:w="3312"/>
          </w:tcPr>
          <w:p>
            <w:r/>
            <w:r>
              <w:rPr>
                <w:b w:val="0"/>
                <w:sz w:val="16"/>
              </w:rPr>
              <w:t>Magnetospirillum magneticu 70.4%</w:t>
            </w:r>
          </w:p>
        </w:tc>
        <w:tc>
          <w:tcPr>
            <w:tcW w:type="dxa" w:w="1008"/>
          </w:tcPr>
          <w:p>
            <w:r/>
            <w:r>
              <w:rPr>
                <w:b w:val="0"/>
                <w:sz w:val="16"/>
              </w:rPr>
              <w:t>I</w:t>
            </w:r>
          </w:p>
        </w:tc>
        <w:tc>
          <w:tcPr>
            <w:tcW w:type="dxa" w:w="720"/>
          </w:tcPr>
          <w:p>
            <w:r/>
            <w:r>
              <w:rPr>
                <w:b w:val="0"/>
                <w:sz w:val="16"/>
              </w:rPr>
              <w:t>✗</w:t>
            </w:r>
          </w:p>
        </w:tc>
      </w:tr>
      <w:tr>
        <w:tc>
          <w:tcPr>
            <w:tcW w:type="dxa" w:w="1728"/>
          </w:tcPr>
          <w:p>
            <w:r/>
            <w:r>
              <w:rPr>
                <w:b w:val="0"/>
                <w:sz w:val="16"/>
              </w:rPr>
              <w:t>CAN_3_bin.221</w:t>
            </w:r>
          </w:p>
        </w:tc>
        <w:tc>
          <w:tcPr>
            <w:tcW w:type="dxa" w:w="1728"/>
          </w:tcPr>
          <w:p>
            <w:r/>
            <w:r>
              <w:rPr>
                <w:b w:val="0"/>
                <w:sz w:val="16"/>
              </w:rPr>
              <w:t>OLB5</w:t>
            </w:r>
          </w:p>
        </w:tc>
        <w:tc>
          <w:tcPr>
            <w:tcW w:type="dxa" w:w="1440"/>
          </w:tcPr>
          <w:p>
            <w:r/>
            <w:r>
              <w:rPr>
                <w:b w:val="0"/>
                <w:sz w:val="16"/>
              </w:rPr>
              <w:t>II (high)</w:t>
            </w:r>
          </w:p>
        </w:tc>
        <w:tc>
          <w:tcPr>
            <w:tcW w:type="dxa" w:w="3312"/>
          </w:tcPr>
          <w:p>
            <w:r/>
            <w:r>
              <w:rPr>
                <w:b w:val="0"/>
                <w:sz w:val="16"/>
              </w:rPr>
              <w:t>Hydrogenobacter thermophil 68.8%</w:t>
            </w:r>
          </w:p>
        </w:tc>
        <w:tc>
          <w:tcPr>
            <w:tcW w:type="dxa" w:w="1008"/>
          </w:tcPr>
          <w:p>
            <w:r/>
            <w:r>
              <w:rPr>
                <w:b w:val="0"/>
                <w:sz w:val="16"/>
              </w:rPr>
              <w:t>II</w:t>
            </w:r>
          </w:p>
        </w:tc>
        <w:tc>
          <w:tcPr>
            <w:tcW w:type="dxa" w:w="720"/>
          </w:tcPr>
          <w:p>
            <w:r/>
            <w:r>
              <w:rPr>
                <w:b w:val="0"/>
                <w:sz w:val="16"/>
              </w:rPr>
              <w:t>✓</w:t>
            </w:r>
          </w:p>
        </w:tc>
      </w:tr>
      <w:tr>
        <w:tc>
          <w:tcPr>
            <w:tcW w:type="dxa" w:w="1728"/>
          </w:tcPr>
          <w:p>
            <w:r/>
            <w:r>
              <w:rPr>
                <w:b w:val="0"/>
                <w:sz w:val="16"/>
              </w:rPr>
              <w:t>CAN_5_bin.112</w:t>
            </w:r>
          </w:p>
        </w:tc>
        <w:tc>
          <w:tcPr>
            <w:tcW w:type="dxa" w:w="1728"/>
          </w:tcPr>
          <w:p>
            <w:r/>
            <w:r>
              <w:rPr>
                <w:b w:val="0"/>
                <w:sz w:val="16"/>
              </w:rPr>
              <w:t>JJ008</w:t>
            </w:r>
          </w:p>
        </w:tc>
        <w:tc>
          <w:tcPr>
            <w:tcW w:type="dxa" w:w="1440"/>
          </w:tcPr>
          <w:p>
            <w:r/>
            <w:r>
              <w:rPr>
                <w:b w:val="0"/>
                <w:sz w:val="16"/>
              </w:rPr>
              <w:t>II (high)</w:t>
            </w:r>
          </w:p>
        </w:tc>
        <w:tc>
          <w:tcPr>
            <w:tcW w:type="dxa" w:w="3312"/>
          </w:tcPr>
          <w:p>
            <w:r/>
            <w:r>
              <w:rPr>
                <w:b w:val="0"/>
                <w:sz w:val="16"/>
              </w:rPr>
              <w:t>Dyadobacter fermentans DSM 73.5%</w:t>
            </w:r>
          </w:p>
        </w:tc>
        <w:tc>
          <w:tcPr>
            <w:tcW w:type="dxa" w:w="1008"/>
          </w:tcPr>
          <w:p>
            <w:r/>
            <w:r>
              <w:rPr>
                <w:b w:val="0"/>
                <w:sz w:val="16"/>
              </w:rPr>
              <w:t>II</w:t>
            </w:r>
          </w:p>
        </w:tc>
        <w:tc>
          <w:tcPr>
            <w:tcW w:type="dxa" w:w="720"/>
          </w:tcPr>
          <w:p>
            <w:r/>
            <w:r>
              <w:rPr>
                <w:b w:val="0"/>
                <w:sz w:val="16"/>
              </w:rPr>
              <w:t>✓</w:t>
            </w:r>
          </w:p>
        </w:tc>
      </w:tr>
      <w:tr>
        <w:tc>
          <w:tcPr>
            <w:tcW w:type="dxa" w:w="1728"/>
          </w:tcPr>
          <w:p>
            <w:r/>
            <w:r>
              <w:rPr>
                <w:b w:val="0"/>
                <w:sz w:val="16"/>
              </w:rPr>
              <w:t>CAN_5_bin.147</w:t>
            </w:r>
          </w:p>
        </w:tc>
        <w:tc>
          <w:tcPr>
            <w:tcW w:type="dxa" w:w="1728"/>
          </w:tcPr>
          <w:p>
            <w:r/>
            <w:r>
              <w:rPr>
                <w:b w:val="0"/>
                <w:sz w:val="16"/>
              </w:rPr>
              <w:t>SpSt-398</w:t>
            </w:r>
          </w:p>
        </w:tc>
        <w:tc>
          <w:tcPr>
            <w:tcW w:type="dxa" w:w="1440"/>
          </w:tcPr>
          <w:p>
            <w:r/>
            <w:r>
              <w:rPr>
                <w:b w:val="0"/>
                <w:sz w:val="16"/>
              </w:rPr>
              <w:t>II (high)</w:t>
            </w:r>
          </w:p>
        </w:tc>
        <w:tc>
          <w:tcPr>
            <w:tcW w:type="dxa" w:w="3312"/>
          </w:tcPr>
          <w:p>
            <w:r/>
            <w:r>
              <w:rPr>
                <w:b w:val="0"/>
                <w:sz w:val="16"/>
              </w:rPr>
              <w:t>Haliscomenobacter hydrossi 74.5%</w:t>
            </w:r>
          </w:p>
        </w:tc>
        <w:tc>
          <w:tcPr>
            <w:tcW w:type="dxa" w:w="1008"/>
          </w:tcPr>
          <w:p>
            <w:r/>
            <w:r>
              <w:rPr>
                <w:b w:val="0"/>
                <w:sz w:val="16"/>
              </w:rPr>
              <w:t>II</w:t>
            </w:r>
          </w:p>
        </w:tc>
        <w:tc>
          <w:tcPr>
            <w:tcW w:type="dxa" w:w="720"/>
          </w:tcPr>
          <w:p>
            <w:r/>
            <w:r>
              <w:rPr>
                <w:b w:val="0"/>
                <w:sz w:val="16"/>
              </w:rPr>
              <w:t>✓</w:t>
            </w:r>
          </w:p>
        </w:tc>
      </w:tr>
      <w:tr>
        <w:tc>
          <w:tcPr>
            <w:tcW w:type="dxa" w:w="1728"/>
          </w:tcPr>
          <w:p>
            <w:r/>
            <w:r>
              <w:rPr>
                <w:b w:val="0"/>
                <w:sz w:val="16"/>
              </w:rPr>
              <w:t>CAN_5_bin.40</w:t>
            </w:r>
          </w:p>
        </w:tc>
        <w:tc>
          <w:tcPr>
            <w:tcW w:type="dxa" w:w="1728"/>
          </w:tcPr>
          <w:p>
            <w:r/>
            <w:r>
              <w:rPr>
                <w:b w:val="0"/>
                <w:sz w:val="16"/>
              </w:rPr>
              <w:t>Giesbergeria</w:t>
            </w:r>
          </w:p>
        </w:tc>
        <w:tc>
          <w:tcPr>
            <w:tcW w:type="dxa" w:w="1440"/>
          </w:tcPr>
          <w:p>
            <w:r/>
            <w:r>
              <w:rPr>
                <w:b w:val="0"/>
                <w:sz w:val="16"/>
              </w:rPr>
              <w:t>II (low)</w:t>
            </w:r>
          </w:p>
        </w:tc>
        <w:tc>
          <w:tcPr>
            <w:tcW w:type="dxa" w:w="3312"/>
          </w:tcPr>
          <w:p>
            <w:r/>
            <w:r>
              <w:rPr>
                <w:b w:val="0"/>
                <w:sz w:val="16"/>
              </w:rPr>
              <w:t>Alicycliphilus denitrifica 86.8%</w:t>
            </w:r>
          </w:p>
        </w:tc>
        <w:tc>
          <w:tcPr>
            <w:tcW w:type="dxa" w:w="1008"/>
          </w:tcPr>
          <w:p>
            <w:r/>
            <w:r>
              <w:rPr>
                <w:b w:val="0"/>
                <w:sz w:val="16"/>
              </w:rPr>
              <w:t>I</w:t>
            </w:r>
          </w:p>
        </w:tc>
        <w:tc>
          <w:tcPr>
            <w:tcW w:type="dxa" w:w="720"/>
          </w:tcPr>
          <w:p>
            <w:r/>
            <w:r>
              <w:rPr>
                <w:b w:val="0"/>
                <w:sz w:val="16"/>
              </w:rPr>
              <w:t>✗</w:t>
            </w:r>
          </w:p>
        </w:tc>
      </w:tr>
      <w:tr>
        <w:tc>
          <w:tcPr>
            <w:tcW w:type="dxa" w:w="1728"/>
          </w:tcPr>
          <w:p>
            <w:r/>
            <w:r>
              <w:rPr>
                <w:b w:val="0"/>
                <w:sz w:val="16"/>
              </w:rPr>
              <w:t>CAN_5_bin.70</w:t>
            </w:r>
          </w:p>
        </w:tc>
        <w:tc>
          <w:tcPr>
            <w:tcW w:type="dxa" w:w="1728"/>
          </w:tcPr>
          <w:p>
            <w:r/>
            <w:r>
              <w:rPr>
                <w:b w:val="0"/>
                <w:sz w:val="16"/>
              </w:rPr>
              <w:t>Azonexus</w:t>
            </w:r>
          </w:p>
        </w:tc>
        <w:tc>
          <w:tcPr>
            <w:tcW w:type="dxa" w:w="1440"/>
          </w:tcPr>
          <w:p>
            <w:r/>
            <w:r>
              <w:rPr>
                <w:b w:val="0"/>
                <w:sz w:val="16"/>
              </w:rPr>
              <w:t>II (high)</w:t>
            </w:r>
          </w:p>
        </w:tc>
        <w:tc>
          <w:tcPr>
            <w:tcW w:type="dxa" w:w="3312"/>
          </w:tcPr>
          <w:p>
            <w:r/>
            <w:r>
              <w:rPr>
                <w:b w:val="0"/>
                <w:sz w:val="16"/>
              </w:rPr>
              <w:t>Dechloromonas aromatica RC 90.5%</w:t>
            </w:r>
          </w:p>
        </w:tc>
        <w:tc>
          <w:tcPr>
            <w:tcW w:type="dxa" w:w="1008"/>
          </w:tcPr>
          <w:p>
            <w:r/>
            <w:r>
              <w:rPr>
                <w:b w:val="0"/>
                <w:sz w:val="16"/>
              </w:rPr>
              <w:t>I</w:t>
            </w:r>
          </w:p>
        </w:tc>
        <w:tc>
          <w:tcPr>
            <w:tcW w:type="dxa" w:w="720"/>
          </w:tcPr>
          <w:p>
            <w:r/>
            <w:r>
              <w:rPr>
                <w:b w:val="0"/>
                <w:sz w:val="16"/>
              </w:rPr>
              <w:t>✗</w:t>
            </w:r>
          </w:p>
        </w:tc>
      </w:tr>
      <w:tr>
        <w:tc>
          <w:tcPr>
            <w:tcW w:type="dxa" w:w="1728"/>
          </w:tcPr>
          <w:p>
            <w:r/>
            <w:r>
              <w:rPr>
                <w:b w:val="0"/>
                <w:sz w:val="16"/>
              </w:rPr>
              <w:t>coasm_bin.185</w:t>
            </w:r>
          </w:p>
        </w:tc>
        <w:tc>
          <w:tcPr>
            <w:tcW w:type="dxa" w:w="1728"/>
          </w:tcPr>
          <w:p>
            <w:r/>
            <w:r>
              <w:rPr>
                <w:b w:val="0"/>
                <w:sz w:val="16"/>
              </w:rPr>
              <w:t>Accumulibacter</w:t>
            </w:r>
          </w:p>
        </w:tc>
        <w:tc>
          <w:tcPr>
            <w:tcW w:type="dxa" w:w="1440"/>
          </w:tcPr>
          <w:p>
            <w:r/>
            <w:r>
              <w:rPr>
                <w:b w:val="0"/>
                <w:sz w:val="16"/>
              </w:rPr>
              <w:t>II (high)</w:t>
            </w:r>
          </w:p>
        </w:tc>
        <w:tc>
          <w:tcPr>
            <w:tcW w:type="dxa" w:w="3312"/>
          </w:tcPr>
          <w:p>
            <w:r/>
            <w:r>
              <w:rPr>
                <w:b w:val="0"/>
                <w:sz w:val="16"/>
              </w:rPr>
              <w:t>Candidatus Accumulibacter  90.6%</w:t>
            </w:r>
          </w:p>
        </w:tc>
        <w:tc>
          <w:tcPr>
            <w:tcW w:type="dxa" w:w="1008"/>
          </w:tcPr>
          <w:p>
            <w:r/>
            <w:r>
              <w:rPr>
                <w:b w:val="0"/>
                <w:sz w:val="16"/>
              </w:rPr>
              <w:t>I</w:t>
            </w:r>
          </w:p>
        </w:tc>
        <w:tc>
          <w:tcPr>
            <w:tcW w:type="dxa" w:w="720"/>
          </w:tcPr>
          <w:p>
            <w:r/>
            <w:r>
              <w:rPr>
                <w:b w:val="0"/>
                <w:sz w:val="16"/>
              </w:rPr>
              <w:t>✗</w:t>
            </w:r>
          </w:p>
        </w:tc>
      </w:tr>
      <w:tr>
        <w:tc>
          <w:tcPr>
            <w:tcW w:type="dxa" w:w="1728"/>
          </w:tcPr>
          <w:p>
            <w:r/>
            <w:r>
              <w:rPr>
                <w:b w:val="0"/>
                <w:sz w:val="16"/>
              </w:rPr>
              <w:t>coasm_bin.260</w:t>
            </w:r>
          </w:p>
        </w:tc>
        <w:tc>
          <w:tcPr>
            <w:tcW w:type="dxa" w:w="1728"/>
          </w:tcPr>
          <w:p>
            <w:r/>
            <w:r>
              <w:rPr>
                <w:b w:val="0"/>
                <w:sz w:val="16"/>
              </w:rPr>
              <w:t>JAAEKA01</w:t>
            </w:r>
          </w:p>
        </w:tc>
        <w:tc>
          <w:tcPr>
            <w:tcW w:type="dxa" w:w="1440"/>
          </w:tcPr>
          <w:p>
            <w:r/>
            <w:r>
              <w:rPr>
                <w:b w:val="0"/>
                <w:sz w:val="16"/>
              </w:rPr>
              <w:t>II (high)</w:t>
            </w:r>
          </w:p>
        </w:tc>
        <w:tc>
          <w:tcPr>
            <w:tcW w:type="dxa" w:w="3312"/>
          </w:tcPr>
          <w:p>
            <w:r/>
            <w:r>
              <w:rPr>
                <w:b w:val="0"/>
                <w:sz w:val="16"/>
              </w:rPr>
              <w:t>Caldilinea aerophila DSM 1 75.5%</w:t>
            </w:r>
          </w:p>
        </w:tc>
        <w:tc>
          <w:tcPr>
            <w:tcW w:type="dxa" w:w="1008"/>
          </w:tcPr>
          <w:p>
            <w:r/>
            <w:r>
              <w:rPr>
                <w:b w:val="0"/>
                <w:sz w:val="16"/>
              </w:rPr>
              <w:t>II</w:t>
            </w:r>
          </w:p>
        </w:tc>
        <w:tc>
          <w:tcPr>
            <w:tcW w:type="dxa" w:w="720"/>
          </w:tcPr>
          <w:p>
            <w:r/>
            <w:r>
              <w:rPr>
                <w:b w:val="0"/>
                <w:sz w:val="16"/>
              </w:rPr>
              <w:t>✓</w:t>
            </w:r>
          </w:p>
        </w:tc>
      </w:tr>
      <w:tr>
        <w:tc>
          <w:tcPr>
            <w:tcW w:type="dxa" w:w="1728"/>
          </w:tcPr>
          <w:p>
            <w:r/>
            <w:r>
              <w:rPr>
                <w:b w:val="0"/>
                <w:sz w:val="16"/>
              </w:rPr>
              <w:t>coasm_bin.481</w:t>
            </w:r>
          </w:p>
        </w:tc>
        <w:tc>
          <w:tcPr>
            <w:tcW w:type="dxa" w:w="1728"/>
          </w:tcPr>
          <w:p>
            <w:r/>
            <w:r>
              <w:rPr>
                <w:b w:val="0"/>
                <w:sz w:val="16"/>
              </w:rPr>
              <w:t>Leptovillus</w:t>
            </w:r>
          </w:p>
        </w:tc>
        <w:tc>
          <w:tcPr>
            <w:tcW w:type="dxa" w:w="1440"/>
          </w:tcPr>
          <w:p>
            <w:r/>
            <w:r>
              <w:rPr>
                <w:b w:val="0"/>
                <w:sz w:val="16"/>
              </w:rPr>
              <w:t>II (high)</w:t>
            </w:r>
          </w:p>
        </w:tc>
        <w:tc>
          <w:tcPr>
            <w:tcW w:type="dxa" w:w="3312"/>
          </w:tcPr>
          <w:p>
            <w:r/>
            <w:r>
              <w:rPr>
                <w:b w:val="0"/>
                <w:sz w:val="16"/>
              </w:rPr>
              <w:t>Rhodothermus marinus DSM 4 60.5%</w:t>
            </w:r>
          </w:p>
        </w:tc>
        <w:tc>
          <w:tcPr>
            <w:tcW w:type="dxa" w:w="1008"/>
          </w:tcPr>
          <w:p>
            <w:r/>
            <w:r>
              <w:rPr>
                <w:b w:val="0"/>
                <w:sz w:val="16"/>
              </w:rPr>
              <w:t>II</w:t>
            </w:r>
          </w:p>
        </w:tc>
        <w:tc>
          <w:tcPr>
            <w:tcW w:type="dxa" w:w="720"/>
          </w:tcPr>
          <w:p>
            <w:r/>
            <w:r>
              <w:rPr>
                <w:b w:val="0"/>
                <w:sz w:val="16"/>
              </w:rPr>
              <w:t>✓</w:t>
            </w:r>
          </w:p>
        </w:tc>
      </w:tr>
      <w:tr>
        <w:tc>
          <w:tcPr>
            <w:tcW w:type="dxa" w:w="1728"/>
          </w:tcPr>
          <w:p>
            <w:r/>
            <w:r>
              <w:rPr>
                <w:b w:val="0"/>
                <w:sz w:val="16"/>
              </w:rPr>
              <w:t>coasm_bin.55</w:t>
            </w:r>
          </w:p>
        </w:tc>
        <w:tc>
          <w:tcPr>
            <w:tcW w:type="dxa" w:w="1728"/>
          </w:tcPr>
          <w:p>
            <w:r/>
            <w:r>
              <w:rPr>
                <w:b w:val="0"/>
                <w:sz w:val="16"/>
              </w:rPr>
              <w:t>Competibacter</w:t>
            </w:r>
          </w:p>
        </w:tc>
        <w:tc>
          <w:tcPr>
            <w:tcW w:type="dxa" w:w="1440"/>
          </w:tcPr>
          <w:p>
            <w:r/>
            <w:r>
              <w:rPr>
                <w:b w:val="0"/>
                <w:sz w:val="16"/>
              </w:rPr>
              <w:t>I (low)</w:t>
            </w:r>
          </w:p>
        </w:tc>
        <w:tc>
          <w:tcPr>
            <w:tcW w:type="dxa" w:w="3312"/>
          </w:tcPr>
          <w:p>
            <w:r/>
            <w:r>
              <w:rPr>
                <w:b w:val="0"/>
                <w:sz w:val="16"/>
              </w:rPr>
              <w:t>Rhodoferax ferrireducens T 73.9%</w:t>
            </w:r>
          </w:p>
        </w:tc>
        <w:tc>
          <w:tcPr>
            <w:tcW w:type="dxa" w:w="1008"/>
          </w:tcPr>
          <w:p>
            <w:r/>
            <w:r>
              <w:rPr>
                <w:b w:val="0"/>
                <w:sz w:val="16"/>
              </w:rPr>
              <w:t>I</w:t>
            </w:r>
          </w:p>
        </w:tc>
        <w:tc>
          <w:tcPr>
            <w:tcW w:type="dxa" w:w="720"/>
          </w:tcPr>
          <w:p>
            <w:r/>
            <w:r>
              <w:rPr>
                <w:b w:val="0"/>
                <w:sz w:val="16"/>
              </w:rPr>
              <w:t>✓</w:t>
            </w:r>
          </w:p>
        </w:tc>
      </w:tr>
    </w:tbl>
    <w:p>
      <w:r>
        <w:br w:type="page"/>
      </w:r>
    </w:p>
    <w:p>
      <w:pPr>
        <w:pStyle w:val="Heading1"/>
      </w:pPr>
      <w:r>
        <w:t>Figures</w:t>
      </w:r>
    </w:p>
    <w:p>
      <w:pPr>
        <w:jc w:val="center"/>
      </w:pPr>
      <w:r>
        <w:drawing>
          <wp:inline xmlns:a="http://schemas.openxmlformats.org/drawingml/2006/main" xmlns:pic="http://schemas.openxmlformats.org/drawingml/2006/picture">
            <wp:extent cx="5943600" cy="2535401"/>
            <wp:docPr id="1" name="Picture 1"/>
            <wp:cNvGraphicFramePr>
              <a:graphicFrameLocks noChangeAspect="1"/>
            </wp:cNvGraphicFramePr>
            <a:graphic>
              <a:graphicData uri="http://schemas.openxmlformats.org/drawingml/2006/picture">
                <pic:pic>
                  <pic:nvPicPr>
                    <pic:cNvPr id="0" name="gene_abundance_figure.png"/>
                    <pic:cNvPicPr/>
                  </pic:nvPicPr>
                  <pic:blipFill>
                    <a:blip r:embed="rId9"/>
                    <a:stretch>
                      <a:fillRect/>
                    </a:stretch>
                  </pic:blipFill>
                  <pic:spPr>
                    <a:xfrm>
                      <a:off x="0" y="0"/>
                      <a:ext cx="5943600" cy="2535401"/>
                    </a:xfrm>
                    <a:prstGeom prst="rect"/>
                  </pic:spPr>
                </pic:pic>
              </a:graphicData>
            </a:graphic>
          </wp:inline>
        </w:drawing>
      </w:r>
    </w:p>
    <w:p>
      <w:pPr>
        <w:spacing w:before="80"/>
      </w:pPr>
      <w:r>
        <w:rPr>
          <w:b/>
          <w:sz w:val="18"/>
        </w:rPr>
        <w:t xml:space="preserve">Figure 1. </w:t>
      </w:r>
      <w:r>
        <w:rPr>
          <w:i/>
          <w:sz w:val="18"/>
        </w:rPr>
        <w:t>Denitrification &amp; DNRA gene abundance (per-sample RPKM) across the 19 focal high-quality MAGs of the CAN system. Columns = MAGs (each subdivided into the five CAN samples); rows = KO functional groups by N-transformation stage; colour = log-scaled RPKM (grey = no detected gene); top bar = GAO/PAO/denitrifier classification; ○ = low-confidence nosZ clade call.</w:t>
      </w:r>
    </w:p>
    <w:p/>
    <w:p>
      <w:pPr>
        <w:jc w:val="center"/>
      </w:pPr>
      <w:r>
        <w:drawing>
          <wp:inline xmlns:a="http://schemas.openxmlformats.org/drawingml/2006/main" xmlns:pic="http://schemas.openxmlformats.org/drawingml/2006/picture">
            <wp:extent cx="5486400" cy="3331675"/>
            <wp:docPr id="2" name="Picture 2"/>
            <wp:cNvGraphicFramePr>
              <a:graphicFrameLocks noChangeAspect="1"/>
            </wp:cNvGraphicFramePr>
            <a:graphic>
              <a:graphicData uri="http://schemas.openxmlformats.org/drawingml/2006/picture">
                <pic:pic>
                  <pic:nvPicPr>
                    <pic:cNvPr id="0" name="gene_abundance_over_time.png"/>
                    <pic:cNvPicPr/>
                  </pic:nvPicPr>
                  <pic:blipFill>
                    <a:blip r:embed="rId10"/>
                    <a:stretch>
                      <a:fillRect/>
                    </a:stretch>
                  </pic:blipFill>
                  <pic:spPr>
                    <a:xfrm>
                      <a:off x="0" y="0"/>
                      <a:ext cx="5486400" cy="3331675"/>
                    </a:xfrm>
                    <a:prstGeom prst="rect"/>
                  </pic:spPr>
                </pic:pic>
              </a:graphicData>
            </a:graphic>
          </wp:inline>
        </w:drawing>
      </w:r>
    </w:p>
    <w:p>
      <w:pPr>
        <w:spacing w:before="80"/>
      </w:pPr>
      <w:r>
        <w:rPr>
          <w:b/>
          <w:sz w:val="18"/>
        </w:rPr>
        <w:t xml:space="preserve">Figure 2. </w:t>
      </w:r>
      <w:r>
        <w:rPr>
          <w:i/>
          <w:sz w:val="18"/>
        </w:rPr>
        <w:t>Community denitrification/DNRA gene abundance over the CAN time series. Each line is one row of Figure 1 (community total = Σ RPKM across MAGs); log y-axis; colour = N-transformation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