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Guía de Decisiones para Administradores</w:t>
      </w:r>
    </w:p>
    <w:p>
      <w:pPr>
        <w:spacing w:after="300"/>
      </w:pPr>
      <w:r>
        <w:rPr>
          <w:i/>
          <w:iCs/>
          <w:color w:val="555555"/>
        </w:rPr>
        <w:t xml:space="preserve">CADH — Comunidad Argentina de HEMA · v1.5</w:t>
      </w:r>
    </w:p>
    <w:p>
      <w:pPr>
        <w:pStyle w:val="Heading1"/>
      </w:pPr>
      <w:r>
        <w:t xml:space="preserve">1. Antes de intervenir: elegí el modo</w:t>
      </w:r>
    </w:p>
    <w:p>
      <w:pPr>
        <w:spacing w:after="150"/>
      </w:pPr>
      <w:r>
        <w:t xml:space="preserve">No todos los conflictos pesan igual. Usá esta referencia rápida para no responder con un protocolo largo a un roce de ego, ni con una respuesta liviana a algo que ya lastimó a alguien de verdad.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3120"/>
            <w:shd w:fill="2F5496" w:val="clear"/>
            <w:tcMar>
              <w:top w:type="dxa" w:w="100"/>
              <w:left w:type="dxa" w:w="120"/>
              <w:bottom w:type="dxa" w:w="100"/>
              <w:right w:type="dxa" w:w="120"/>
            </w:tcMar>
          </w:tcPr>
          <w:p>
            <w:r>
              <w:rPr>
                <w:b/>
                <w:bCs/>
                <w:color w:val="FFFFFF"/>
              </w:rPr>
              <w:t xml:space="preserve">Modo</w:t>
            </w:r>
          </w:p>
        </w:tc>
        <w:tc>
          <w:tcPr>
            <w:tcW w:type="dxa" w:w="3120"/>
            <w:shd w:fill="2F5496" w:val="clear"/>
            <w:tcMar>
              <w:top w:type="dxa" w:w="100"/>
              <w:left w:type="dxa" w:w="120"/>
              <w:bottom w:type="dxa" w:w="100"/>
              <w:right w:type="dxa" w:w="120"/>
            </w:tcMar>
          </w:tcPr>
          <w:p>
            <w:r>
              <w:rPr>
                <w:b/>
                <w:bCs/>
                <w:color w:val="FFFFFF"/>
              </w:rPr>
              <w:t xml:space="preserve">Cuándo usarlo</w:t>
            </w:r>
          </w:p>
        </w:tc>
        <w:tc>
          <w:tcPr>
            <w:tcW w:type="dxa" w:w="3120"/>
            <w:shd w:fill="2F5496" w:val="clear"/>
            <w:tcMar>
              <w:top w:type="dxa" w:w="100"/>
              <w:left w:type="dxa" w:w="120"/>
              <w:bottom w:type="dxa" w:w="100"/>
              <w:right w:type="dxa" w:w="120"/>
            </w:tcMar>
          </w:tcPr>
          <w:p>
            <w:r>
              <w:rPr>
                <w:b/>
                <w:bCs/>
                <w:color w:val="FFFFFF"/>
              </w:rPr>
              <w:t xml:space="preserve">Formato</w:t>
            </w:r>
          </w:p>
        </w:tc>
      </w:tr>
      <w:tr>
        <w:tc>
          <w:tcPr>
            <w:tcW w:type="dxa" w:w="3120"/>
            <w:tcMar>
              <w:top w:type="dxa" w:w="100"/>
              <w:left w:type="dxa" w:w="120"/>
              <w:bottom w:type="dxa" w:w="100"/>
              <w:right w:type="dxa" w:w="120"/>
            </w:tcMar>
          </w:tcPr>
          <w:p>
            <w:r>
              <w:t xml:space="preserve">🟢 Rápido</w:t>
            </w:r>
          </w:p>
        </w:tc>
        <w:tc>
          <w:tcPr>
            <w:tcW w:type="dxa" w:w="3120"/>
            <w:tcMar>
              <w:top w:type="dxa" w:w="100"/>
              <w:left w:type="dxa" w:w="120"/>
              <w:bottom w:type="dxa" w:w="100"/>
              <w:right w:type="dxa" w:w="120"/>
            </w:tcMar>
          </w:tcPr>
          <w:p>
            <w:r>
              <w:t xml:space="preserve">Indirectas, roces de ego, primera vez de algo leve, tensión sin agresión</w:t>
            </w:r>
          </w:p>
        </w:tc>
        <w:tc>
          <w:tcPr>
            <w:tcW w:type="dxa" w:w="3120"/>
            <w:tcMar>
              <w:top w:type="dxa" w:w="100"/>
              <w:left w:type="dxa" w:w="120"/>
              <w:bottom w:type="dxa" w:w="100"/>
              <w:right w:type="dxa" w:w="120"/>
            </w:tcMar>
          </w:tcPr>
          <w:p>
            <w:r>
              <w:t xml:space="preserve">1-2 líneas + 1 pregunta al otro admin antes de resolver</w:t>
            </w:r>
          </w:p>
        </w:tc>
      </w:tr>
      <w:tr>
        <w:tc>
          <w:tcPr>
            <w:tcW w:type="dxa" w:w="3120"/>
            <w:tcMar>
              <w:top w:type="dxa" w:w="100"/>
              <w:left w:type="dxa" w:w="120"/>
              <w:bottom w:type="dxa" w:w="100"/>
              <w:right w:type="dxa" w:w="120"/>
            </w:tcMar>
          </w:tcPr>
          <w:p>
            <w:r>
              <w:t xml:space="preserve">🟡 Estándar</w:t>
            </w:r>
          </w:p>
        </w:tc>
        <w:tc>
          <w:tcPr>
            <w:tcW w:type="dxa" w:w="3120"/>
            <w:tcMar>
              <w:top w:type="dxa" w:w="100"/>
              <w:left w:type="dxa" w:w="120"/>
              <w:bottom w:type="dxa" w:w="100"/>
              <w:right w:type="dxa" w:w="120"/>
            </w:tcMar>
          </w:tcPr>
          <w:p>
            <w:r>
              <w:t xml:space="preserve">Reincidencia, difamación activa, campañas de desprestigio, insultos directos</w:t>
            </w:r>
          </w:p>
        </w:tc>
        <w:tc>
          <w:tcPr>
            <w:tcW w:type="dxa" w:w="3120"/>
            <w:tcMar>
              <w:top w:type="dxa" w:w="100"/>
              <w:left w:type="dxa" w:w="120"/>
              <w:bottom w:type="dxa" w:w="100"/>
              <w:right w:type="dxa" w:w="120"/>
            </w:tcMar>
          </w:tcPr>
          <w:p>
            <w:r>
              <w:t xml:space="preserve">Análisis completo (cronología + opciones + recomendación)</w:t>
            </w:r>
          </w:p>
        </w:tc>
      </w:tr>
      <w:tr>
        <w:tc>
          <w:tcPr>
            <w:tcW w:type="dxa" w:w="3120"/>
            <w:tcMar>
              <w:top w:type="dxa" w:w="100"/>
              <w:left w:type="dxa" w:w="120"/>
              <w:bottom w:type="dxa" w:w="100"/>
              <w:right w:type="dxa" w:w="120"/>
            </w:tcMar>
          </w:tcPr>
          <w:p>
            <w:r>
              <w:t xml:space="preserve">🔴 Escalar</w:t>
            </w:r>
          </w:p>
        </w:tc>
        <w:tc>
          <w:tcPr>
            <w:tcW w:type="dxa" w:w="3120"/>
            <w:tcMar>
              <w:top w:type="dxa" w:w="100"/>
              <w:left w:type="dxa" w:w="120"/>
              <w:bottom w:type="dxa" w:w="100"/>
              <w:right w:type="dxa" w:w="120"/>
            </w:tcMar>
          </w:tcPr>
          <w:p>
            <w:r>
              <w:t xml:space="preserve">Amenazas, violencia, acoso, menores en riesgo, daño real e inminente</w:t>
            </w:r>
          </w:p>
        </w:tc>
        <w:tc>
          <w:tcPr>
            <w:tcW w:type="dxa" w:w="3120"/>
            <w:tcMar>
              <w:top w:type="dxa" w:w="100"/>
              <w:left w:type="dxa" w:w="120"/>
              <w:bottom w:type="dxa" w:w="100"/>
              <w:right w:type="dxa" w:w="120"/>
            </w:tcMar>
          </w:tcPr>
          <w:p>
            <w:r>
              <w:t xml:space="preserve">Derivar de inmediato — no analizar como conflicto de ego</w:t>
            </w:r>
          </w:p>
        </w:tc>
      </w:tr>
    </w:tbl>
    <w:p>
      <w:pPr>
        <w:spacing w:after="200"/>
      </w:pPr>
    </w:p>
    <w:p>
      <w:pPr>
        <w:pStyle w:val="Heading1"/>
      </w:pPr>
      <w:r>
        <w:t xml:space="preserve">2. El test clave: ¿libertad de expresión o ataque disfrazado?</w:t>
      </w:r>
    </w:p>
    <w:p>
      <w:pPr>
        <w:spacing w:after="100"/>
      </w:pPr>
      <w:r>
        <w:t xml:space="preserve">Esta es la herramienta más importante para no caer en ninguno de los dos extremos: censurar crítica válida porque incomoda, o tolerar agresión disfrazada de opinión.</w:t>
      </w:r>
    </w:p>
    <w:p>
      <w:pPr>
        <w:spacing w:after="100"/>
      </w:pPr>
      <w:r>
        <w:rPr>
          <w:b/>
          <w:bCs/>
        </w:rPr>
        <w:t xml:space="preserve">La prueba: quitale al mensaje cualquier insulto o descalificación personal. ¿El argumento sigue de pie?</w:t>
      </w:r>
    </w:p>
    <w:p>
      <w:pPr>
        <w:pStyle w:val="ListParagraph"/>
        <w:numPr>
          <w:ilvl w:val="0"/>
          <w:numId w:val="2"/>
        </w:numPr>
        <w:spacing w:after="60"/>
      </w:pPr>
      <w:r>
        <w:t xml:space="preserve">Si sigue de pie → es crítica legítima, aunque sea dura o incómoda. No se sanciona el contenido.</w:t>
      </w:r>
    </w:p>
    <w:p>
      <w:pPr>
        <w:pStyle w:val="ListParagraph"/>
        <w:numPr>
          <w:ilvl w:val="0"/>
          <w:numId w:val="2"/>
        </w:numPr>
        <w:spacing w:after="60"/>
      </w:pPr>
      <w:r>
        <w:t xml:space="preserve">Si no queda nada → el insulto era el mensaje completo. Se sanciona, sin importar si había algo de razón de fondo.</w:t>
      </w:r>
    </w:p>
    <w:p>
      <w:pPr>
        <w:spacing w:after="60"/>
      </w:pPr>
      <w:r>
        <w:rPr>
          <w:b/>
          <w:bCs/>
        </w:rPr>
        <w:t xml:space="preserve">Ejemplo A (pasa el test): </w:t>
      </w:r>
      <w:r>
        <w:rPr>
          <w:i/>
          <w:iCs/>
        </w:rPr>
        <w:t xml:space="preserve">"Me parece que este proyecto compite deslealmente con lo que arma Marcos." — Es un argumento. Se puede discutir, no se sanciona.</w:t>
      </w:r>
    </w:p>
    <w:p>
      <w:pPr>
        <w:spacing w:after="100"/>
      </w:pPr>
      <w:r>
        <w:rPr>
          <w:b/>
          <w:bCs/>
        </w:rPr>
        <w:t xml:space="preserve">Ejemplo B (no pasa el test): </w:t>
      </w:r>
      <w:r>
        <w:rPr>
          <w:i/>
          <w:iCs/>
        </w:rPr>
        <w:t xml:space="preserve">"Sos una rata coluda." — Sacá el insulto y no queda ningún argumento. Se sanciona.</w:t>
      </w:r>
    </w:p>
    <w:p>
      <w:pPr>
        <w:spacing w:after="200"/>
      </w:pPr>
      <w:r>
        <w:rPr>
          <w:b/>
          <w:bCs/>
        </w:rPr>
        <w:t xml:space="preserve">Frase para usar en el momento: </w:t>
      </w:r>
      <w:r>
        <w:rPr>
          <w:i/>
          <w:iCs/>
          <w:color w:val="444444"/>
        </w:rPr>
        <w:t xml:space="preserve">"Sacale el insulto a tu mensaje y fijate si el argumento sigue de pie. Si sigue, decilo así. Si no queda nada, es que no tenías un argumento, tenías un ataque."</w:t>
      </w:r>
    </w:p>
    <w:p>
      <w:pPr>
        <w:pStyle w:val="Heading1"/>
      </w:pPr>
      <w:r>
        <w:t xml:space="preserve">3. Reconocer la "lucha por el referente"</w:t>
      </w:r>
    </w:p>
    <w:p>
      <w:pPr>
        <w:spacing w:after="100"/>
      </w:pPr>
      <w:r>
        <w:t xml:space="preserve">El conflicto más frecuente en comunidades de nicho: alguien busca posicionarse como "el referente" desprestigiando a otro, casi siempre de forma indirecta. Señales típicas:</w:t>
      </w:r>
    </w:p>
    <w:p>
      <w:pPr>
        <w:pStyle w:val="ListParagraph"/>
        <w:numPr>
          <w:ilvl w:val="0"/>
          <w:numId w:val="2"/>
        </w:numPr>
        <w:spacing w:after="60"/>
      </w:pPr>
      <w:r>
        <w:t xml:space="preserve">Crítica o "preocupación" pública por alguien, en vez de hablarlo en privado.</w:t>
      </w:r>
    </w:p>
    <w:p>
      <w:pPr>
        <w:pStyle w:val="ListParagraph"/>
        <w:numPr>
          <w:ilvl w:val="0"/>
          <w:numId w:val="2"/>
        </w:numPr>
        <w:spacing w:after="60"/>
      </w:pPr>
      <w:r>
        <w:t xml:space="preserve">Comparar iniciativas o proyectos como si fueran competencia directa entre sí.</w:t>
      </w:r>
    </w:p>
    <w:p>
      <w:pPr>
        <w:pStyle w:val="ListParagraph"/>
        <w:numPr>
          <w:ilvl w:val="0"/>
          <w:numId w:val="2"/>
        </w:numPr>
        <w:spacing w:after="60"/>
      </w:pPr>
      <w:r>
        <w:t xml:space="preserve">Acusar de "negocio personal" o mala fe sin mostrar evidencia concreta en el grupo.</w:t>
      </w:r>
    </w:p>
    <w:p>
      <w:pPr>
        <w:pStyle w:val="ListParagraph"/>
        <w:numPr>
          <w:ilvl w:val="0"/>
          <w:numId w:val="2"/>
        </w:numPr>
        <w:spacing w:after="60"/>
      </w:pPr>
      <w:r>
        <w:t xml:space="preserve">Formación de bandos explícitos.</w:t>
      </w:r>
    </w:p>
    <w:p>
      <w:pPr>
        <w:pStyle w:val="ListParagraph"/>
        <w:numPr>
          <w:ilvl w:val="0"/>
          <w:numId w:val="2"/>
        </w:numPr>
        <w:spacing w:after="60"/>
      </w:pPr>
      <w:r>
        <w:t xml:space="preserve">Traer historial externo (redes, comunidades anteriores) como munición dentro de la discusión actual.</w:t>
      </w:r>
    </w:p>
    <w:p>
      <w:pPr>
        <w:pStyle w:val="ListParagraph"/>
        <w:numPr>
          <w:ilvl w:val="0"/>
          <w:numId w:val="2"/>
        </w:numPr>
        <w:spacing w:after="60"/>
      </w:pPr>
      <w:r>
        <w:t xml:space="preserve">Usar ambigüedad y pasivo-agresividad como escudo ("yo no dije eso", "no hablé de nadie en específico") mientras el efecto es desprestigiar.</w:t>
      </w:r>
    </w:p>
    <w:p>
      <w:pPr>
        <w:spacing w:after="200" w:before="100"/>
      </w:pPr>
      <w:r>
        <w:t xml:space="preserve">Nombrar el patrón correctamente en voz alta ya resuelve la mitad del problema.</w:t>
      </w:r>
    </w:p>
    <w:p>
      <w:pPr>
        <w:pStyle w:val="Heading1"/>
      </w:pPr>
      <w:r>
        <w:t xml:space="preserve">4. Cuando la evidencia no está en este grupo: el Comité de Verificación</w:t>
      </w:r>
    </w:p>
    <w:p>
      <w:pPr>
        <w:spacing w:after="100"/>
      </w:pPr>
      <w:r>
        <w:t xml:space="preserve">Problema real: a veces varias personas coinciden en señalar un patrón de alguien, con capturas o historial de otra comunidad o de hace años. Ni un admin en conflicto con esa persona, ni una IA sin ese contexto, puede validar eso por sí solo. La solución no es ignorarlo ni darlo por cierto — es un paso de verificación humano.</w:t>
      </w:r>
    </w:p>
    <w:p>
      <w:pPr>
        <w:spacing w:after="100"/>
      </w:pPr>
      <w:r>
        <w:rPr>
          <w:b/>
          <w:bCs/>
        </w:rPr>
        <w:t xml:space="preserve">Cuándo se activa: </w:t>
      </w:r>
      <w:r>
        <w:t xml:space="preserve">cuando la acusación es de patrón (no un hecho aislado), la sostienen varias fuentes independientes, y hay evidencia material (no solo relatos).</w:t>
      </w:r>
    </w:p>
    <w:p>
      <w:pPr>
        <w:spacing w:after="100"/>
      </w:pPr>
      <w:r>
        <w:rPr>
          <w:b/>
          <w:bCs/>
        </w:rPr>
        <w:t xml:space="preserve">Quién lo compone: </w:t>
      </w:r>
      <w:r>
        <w:t xml:space="preserve">personas sin roce activo reciente con ninguna de las partes del caso puntual. Preferentemente no los mismos admins ya metidos en el conflicto.</w:t>
      </w:r>
    </w:p>
    <w:p>
      <w:pPr>
        <w:spacing w:after="100"/>
      </w:pPr>
      <w:r>
        <w:rPr>
          <w:b/>
          <w:bCs/>
        </w:rPr>
        <w:t xml:space="preserve">Qué decide (y qué NO decide): </w:t>
      </w:r>
      <w:r>
        <w:t xml:space="preserve">el comité no juzga si alguien "es" de determinada manera. Solo responde, por cada pieza de evidencia: ¿es auténtica y dice lo que se afirma? Sí o no.</w:t>
      </w:r>
    </w:p>
    <w:p>
      <w:pPr>
        <w:spacing w:after="80"/>
      </w:pPr>
      <w:r>
        <w:t xml:space="preserve">1. Más de una fuente independiente (no todas del mismo "bando").</w:t>
      </w:r>
    </w:p>
    <w:p>
      <w:pPr>
        <w:spacing w:after="80"/>
      </w:pPr>
      <w:r>
        <w:t xml:space="preserve">2. Evidencia material revisada, no solo testimonio.</w:t>
      </w:r>
    </w:p>
    <w:p>
      <w:pPr>
        <w:spacing w:after="80"/>
      </w:pPr>
      <w:r>
        <w:t xml:space="preserve">3. Revisión por más de una persona — nunca lo decide una sola.</w:t>
      </w:r>
    </w:p>
    <w:p>
      <w:pPr>
        <w:spacing w:after="80"/>
      </w:pPr>
      <w:r>
        <w:t xml:space="preserve">4. Registro con fecha: qué se revisó, quiénes, qué se concluyó.</w:t>
      </w:r>
    </w:p>
    <w:p>
      <w:pPr>
        <w:spacing w:after="100" w:before="100"/>
      </w:pPr>
      <w:r>
        <w:t xml:space="preserve">Si algo no puede verificarse con estos criterios, queda fuera del proceso formal, aunque varias personas lo den por cierto. Es incómodo, pero sostiene la legitimidad del sistema.</w:t>
      </w:r>
    </w:p>
    <w:p>
      <w:pPr>
        <w:spacing w:after="200"/>
      </w:pPr>
      <w:r>
        <w:rPr>
          <w:b/>
          <w:bCs/>
        </w:rPr>
        <w:t xml:space="preserve">Nota sobre quien reporta: </w:t>
      </w:r>
      <w:r>
        <w:t xml:space="preserve">si la persona que reporta un patrón fue ella misma afectada por el acusado, su relato sigue siendo válido para abrir el caso — pero no alcanza como verificación. Eso no es desconfianza hacia ella; nadie es buen juez de un caso donde tiene piel en el juego.</w:t>
      </w:r>
    </w:p>
    <w:p>
      <w:pPr>
        <w:pStyle w:val="Heading1"/>
      </w:pPr>
      <w:r>
        <w:t xml:space="preserve">5. Código de responsabilidad para instructores y delegados</w:t>
      </w:r>
    </w:p>
    <w:p>
      <w:pPr>
        <w:spacing w:after="100"/>
      </w:pPr>
      <w:r>
        <w:t xml:space="preserve">Ser instructor o delegado de un club implica representar los valores de HEMA — profesionalismo y trato respetuoso — no solo el nivel técnico.</w:t>
      </w:r>
    </w:p>
    <w:p>
      <w:pPr>
        <w:pStyle w:val="ListParagraph"/>
        <w:numPr>
          <w:ilvl w:val="0"/>
          <w:numId w:val="2"/>
        </w:numPr>
        <w:spacing w:after="60"/>
      </w:pPr>
      <w:r>
        <w:t xml:space="preserve">Un instructor o delegado que participa en un conflicto como los vistos acá (insultos, campañas de desprestigio) se evalúa con una vara más alta, no con inmunidad por su cargo.</w:t>
      </w:r>
    </w:p>
    <w:p>
      <w:pPr>
        <w:pStyle w:val="ListParagraph"/>
        <w:numPr>
          <w:ilvl w:val="0"/>
          <w:numId w:val="2"/>
        </w:numPr>
        <w:spacing w:after="60"/>
      </w:pPr>
      <w:r>
        <w:t xml:space="preserve">Si el Comité de Verificación documenta un patrón sostenido en un instructor, la consecuencia puede incluir una conversación con el club que representa sobre si debe seguir siendo su representante en la comunidad.</w:t>
      </w:r>
    </w:p>
    <w:p>
      <w:pPr>
        <w:pStyle w:val="ListParagraph"/>
        <w:numPr>
          <w:ilvl w:val="0"/>
          <w:numId w:val="2"/>
        </w:numPr>
        <w:spacing w:after="60"/>
      </w:pPr>
      <w:r>
        <w:t xml:space="preserve">No es control sobre personas puntuales — es una expectativa de rol, válida para cualquiera que lo ocupe, hoy o en el futuro.</w:t>
      </w:r>
    </w:p>
    <w:p>
      <w:pPr>
        <w:spacing w:after="200"/>
      </w:pPr>
    </w:p>
    <w:p>
      <w:pPr>
        <w:pStyle w:val="Heading1"/>
      </w:pPr>
      <w:r>
        <w:t xml:space="preserve">6. Señal de alerta: silencio hasta el conflicto</w:t>
      </w:r>
    </w:p>
    <w:p>
      <w:pPr>
        <w:spacing w:after="100"/>
      </w:pPr>
      <w:r>
        <w:t xml:space="preserve">Si el grupo está mayormente en silencio y solo se activa masivamente cuando estalla una pelea, la comunidad está aprendiendo — sin que nadie lo decida — que el conflicto es lo único que da atención. Esto desplaza a HEMA como eje del espacio.</w:t>
      </w:r>
    </w:p>
    <w:p>
      <w:pPr>
        <w:pStyle w:val="ListParagraph"/>
        <w:numPr>
          <w:ilvl w:val="0"/>
          <w:numId w:val="2"/>
        </w:numPr>
        <w:spacing w:after="60"/>
      </w:pPr>
      <w:r>
        <w:t xml:space="preserve">Señal a mirar: ¿la actividad de contenido técnico cae entre conflictos y solo repunta durante ellos?</w:t>
      </w:r>
    </w:p>
    <w:p>
      <w:pPr>
        <w:pStyle w:val="ListParagraph"/>
        <w:numPr>
          <w:ilvl w:val="0"/>
          <w:numId w:val="2"/>
        </w:numPr>
        <w:spacing w:after="60"/>
      </w:pPr>
      <w:r>
        <w:t xml:space="preserve">Cuando alguien intenta desviar una discusión hacia HEMA (torneos, técnica) en medio de un conflicto y queda ignorado, eso es el síntoma, no ruido de fondo. Vale la pena notarlo y amplificarlo activamente.</w:t>
      </w:r>
    </w:p>
    <w:p>
      <w:pPr>
        <w:spacing w:after="200"/>
      </w:pPr>
    </w:p>
    <w:p>
      <w:pPr>
        <w:pStyle w:val="Heading1"/>
      </w:pPr>
      <w:r>
        <w:t xml:space="preserve">7. Regla de oro al decidir cualquier caso</w:t>
      </w:r>
    </w:p>
    <w:p>
      <w:pPr>
        <w:pStyle w:val="ListParagraph"/>
        <w:numPr>
          <w:ilvl w:val="0"/>
          <w:numId w:val="2"/>
        </w:numPr>
        <w:spacing w:after="60"/>
      </w:pPr>
      <w:r>
        <w:t xml:space="preserve">La FORMA (insulto, según el test de la sección 2) se sanciona siempre, sin importar quién tenga razón en el fondo.</w:t>
      </w:r>
    </w:p>
    <w:p>
      <w:pPr>
        <w:pStyle w:val="ListParagraph"/>
        <w:numPr>
          <w:ilvl w:val="0"/>
          <w:numId w:val="2"/>
        </w:numPr>
        <w:spacing w:after="60"/>
      </w:pPr>
      <w:r>
        <w:t xml:space="preserve">El FONDO (si una sospecha o crítica tiene mérito) se investiga aparte, en privado, con calma.</w:t>
      </w:r>
    </w:p>
    <w:p>
      <w:pPr>
        <w:pStyle w:val="ListParagraph"/>
        <w:numPr>
          <w:ilvl w:val="0"/>
          <w:numId w:val="2"/>
        </w:numPr>
        <w:spacing w:after="60"/>
      </w:pPr>
      <w:r>
        <w:t xml:space="preserve">¿Tengo la versión de ambas partes, o solo la de quien se quejó primero?</w:t>
      </w:r>
    </w:p>
    <w:p>
      <w:pPr>
        <w:pStyle w:val="ListParagraph"/>
        <w:numPr>
          <w:ilvl w:val="0"/>
          <w:numId w:val="2"/>
        </w:numPr>
        <w:spacing w:after="60"/>
      </w:pPr>
      <w:r>
        <w:t xml:space="preserve">¿Ya usé la intervención mínima antes para este mismo patrón y no funcionó? Si es así, corresponde escalar, no repetir lo mismo.</w:t>
      </w:r>
    </w:p>
    <w:p>
      <w:pPr>
        <w:spacing w:after="200"/>
      </w:pPr>
    </w:p>
    <w:p>
      <w:pPr>
        <w:pStyle w:val="Heading1"/>
      </w:pPr>
      <w:r>
        <w:t xml:space="preserve">8. Plantillas de mensajes</w:t>
      </w:r>
    </w:p>
    <w:p>
      <w:pPr>
        <w:spacing w:after="80"/>
      </w:pPr>
      <w:r>
        <w:rPr>
          <w:b/>
          <w:bCs/>
        </w:rPr>
        <w:t xml:space="preserve">Separar forma de fondo frente al grupo:</w:t>
      </w:r>
    </w:p>
    <w:p>
      <w:pPr>
        <w:pBdr>
          <w:left w:val="single" w:color="AAAAAA" w:sz="12" w:space="8"/>
        </w:pBdr>
        <w:spacing w:after="100"/>
        <w:ind w:left="360"/>
      </w:pPr>
      <w:r>
        <w:rPr>
          <w:i/>
          <w:iCs/>
          <w:color w:val="444444"/>
        </w:rPr>
        <w:t xml:space="preserve">"Sacale el insulto a tu mensaje y fijate si el argumento sigue de pie. Si sigue, decilo así, tenés derecho. Si no queda nada, es que no tenías un argumento."</w:t>
      </w:r>
    </w:p>
    <w:p>
      <w:pPr>
        <w:spacing w:after="80" w:before="150"/>
      </w:pPr>
      <w:r>
        <w:rPr>
          <w:b/>
          <w:bCs/>
        </w:rPr>
        <w:t xml:space="preserve">Advertencia privada (patrón identificado, regla nueva):</w:t>
      </w:r>
    </w:p>
    <w:p>
      <w:pPr>
        <w:pBdr>
          <w:left w:val="single" w:color="AAAAAA" w:sz="12" w:space="8"/>
        </w:pBdr>
        <w:spacing w:after="100"/>
        <w:ind w:left="360"/>
      </w:pPr>
      <w:r>
        <w:rPr>
          <w:i/>
          <w:iCs/>
          <w:color w:val="444444"/>
        </w:rPr>
        <w:t xml:space="preserve">"Che, te quiero hablar de algo en privado. Lo que pasó antes de esta regla no lo vamos a sancionar retroactivamente. Pero de acá en adelante, si se repite este mismo patrón, la consecuencia va a ser directamente la expulsión."</w:t>
      </w:r>
    </w:p>
    <w:p>
      <w:pPr>
        <w:spacing w:after="80" w:before="150"/>
      </w:pPr>
      <w:r>
        <w:rPr>
          <w:b/>
          <w:bCs/>
        </w:rPr>
        <w:t xml:space="preserve">Pedido de delegado a un club:</w:t>
      </w:r>
    </w:p>
    <w:p>
      <w:pPr>
        <w:pBdr>
          <w:left w:val="single" w:color="AAAAAA" w:sz="12" w:space="8"/>
        </w:pBdr>
        <w:spacing w:after="100"/>
        <w:ind w:left="360"/>
      </w:pPr>
      <w:r>
        <w:rPr>
          <w:i/>
          <w:iCs/>
          <w:color w:val="444444"/>
        </w:rPr>
        <w:t xml:space="preserve">"Para simplificar la comunicación y evitar malentendidos, les pedimos a cada club que designe un delegado con autoridad para hablar en su nombre, y que asuma la responsabilidad de mantener un tono profesional en los espacios comunitarios."</w:t>
      </w:r>
    </w:p>
    <w:p>
      <w:pPr>
        <w:spacing w:after="80" w:before="150"/>
      </w:pPr>
      <w:r>
        <w:rPr>
          <w:b/>
          <w:bCs/>
        </w:rPr>
        <w:t xml:space="preserve">Cierre público de un hilo que escaló:</w:t>
      </w:r>
    </w:p>
    <w:p>
      <w:pPr>
        <w:pBdr>
          <w:left w:val="single" w:color="AAAAAA" w:sz="12" w:space="8"/>
        </w:pBdr>
        <w:spacing w:after="100"/>
        <w:ind w:left="360"/>
      </w:pPr>
      <w:r>
        <w:rPr>
          <w:i/>
          <w:iCs/>
          <w:color w:val="444444"/>
        </w:rPr>
        <w:t xml:space="preserve">"Este tema se sigue en privado con el staff. Acá cerramos la discusión pública — no porque no importe, sino porque en este formato no se resuelve bien."</w:t>
      </w:r>
    </w:p>
    <w:p>
      <w:pPr>
        <w:spacing w:after="200"/>
      </w:pPr>
    </w:p>
    <w:p>
      <w:r>
        <w:rPr>
          <w:i/>
          <w:iCs/>
          <w:color w:val="555555"/>
        </w:rPr>
        <w:t xml:space="preserve">El objetivo no es ganar cada discusión — es que la comunidad aprenda a distinguir crítica legítima de ataque personal, y que HEMA vuelva a ser el eje del espacio, no el conflicto.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2026-07-11T02:26:59.824Z</dcterms:created>
  <dcterms:modified xsi:type="dcterms:W3CDTF">2026-07-11T02:26:59.836Z</dcterms:modified>
</cp:coreProperties>
</file>

<file path=docProps/custom.xml><?xml version="1.0" encoding="utf-8"?>
<Properties xmlns="http://schemas.openxmlformats.org/officeDocument/2006/custom-properties" xmlns:vt="http://schemas.openxmlformats.org/officeDocument/2006/docPropsVTypes"/>
</file>