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C15" w:rsidRDefault="0091173A" w14:paraId="2025D54C" w14:textId="77777777">
      <w:pPr>
        <w:spacing w:before="157" w:after="157" w:line="270" w:lineRule="auto"/>
      </w:pPr>
      <w:bookmarkStart w:name="relatório_trabalhos_sobre_staffor_1d48bf" w:id="0"/>
      <w:r>
        <w:rPr>
          <w:rFonts w:hAnsi="Georgia" w:eastAsia="Georgia" w:cs="Georgia"/>
          <w:b/>
          <w:color w:val="000000"/>
          <w:sz w:val="39"/>
        </w:rPr>
        <w:t>Relatório: trabalhos sobre Stafford Beer/MSV em regulação, política industrial e gestão pública no Brasil</w:t>
      </w:r>
      <w:bookmarkEnd w:id="0"/>
    </w:p>
    <w:p w:rsidR="00696C15" w:rsidRDefault="0091173A" w14:paraId="7FC408D4" w14:textId="77777777">
      <w:pPr>
        <w:spacing w:before="315" w:after="105" w:line="360" w:lineRule="auto"/>
        <w:ind w:left="-30"/>
      </w:pPr>
      <w:bookmarkStart w:name="visão_geral" w:id="1"/>
      <w:r>
        <w:rPr>
          <w:rFonts w:hAnsi="Georgia" w:eastAsia="Georgia" w:cs="Georgia"/>
          <w:b/>
          <w:color w:val="000000"/>
          <w:sz w:val="24"/>
        </w:rPr>
        <w:t>Visão geral</w:t>
      </w:r>
      <w:bookmarkEnd w:id="1"/>
    </w:p>
    <w:p w:rsidR="00696C15" w:rsidRDefault="0091173A" w14:paraId="4184768D" w14:textId="77777777">
      <w:pPr>
        <w:spacing w:after="210" w:line="360" w:lineRule="auto"/>
      </w:pPr>
      <w:r>
        <w:rPr>
          <w:rFonts w:hAnsi="Georgia" w:eastAsia="Georgia" w:cs="Georgia"/>
          <w:color w:val="000000"/>
        </w:rPr>
        <w:t>A busca em bases abertas e repositórios brasileiros encontrou poucos trabalhos brasileiros que usem explicitamente a cibernética de Stafford Beer ou o Modelo de Sistema Viável (MSV) aplicados a regulação governamental, política industrial ou gestão pública no recorte solicitado desde 2010 (BRASIL, 2008). O achado mais diretamente aderente recuperado nas fontes abertas consultadas foi uma dissertação da FGV sobre controle externo e auditorias de obras públicas, anterior a 2010, usada aqui como antecedente im</w:t>
      </w:r>
      <w:r>
        <w:rPr>
          <w:rFonts w:hAnsi="Georgia" w:eastAsia="Georgia" w:cs="Georgia"/>
          <w:color w:val="000000"/>
        </w:rPr>
        <w:t>portante para contextualizar a escassez da produção posterior (BRASIL, 2008).</w:t>
      </w:r>
    </w:p>
    <w:p w:rsidR="00696C15" w:rsidRDefault="0091173A" w14:paraId="78A3648C" w14:textId="77777777">
      <w:pPr>
        <w:spacing w:after="210" w:line="360" w:lineRule="auto"/>
      </w:pPr>
      <w:r>
        <w:rPr>
          <w:rFonts w:hAnsi="Georgia" w:eastAsia="Georgia" w:cs="Georgia"/>
          <w:color w:val="000000"/>
        </w:rPr>
        <w:t>As bases consultadas também retornaram literatura recente sobre capacidades estatais, coordenação e inovação na gestão pública e na política industrial no Brasil, mas sem uso explícito de Stafford Beer/MSV nos metadados e trechos acessíveis recuperados (REVISTA DO SERVIÇO PÚBLICO, 2025a; REVISTA DO SERVIÇO PÚBLICO, 2025b; DESENVOLVIMENTO EM QUESTÃO, 2024). Isso indica convergência temática com a lógica cibernética, porém baixa explicitação conceitual ou baixo uso nominal do referencial nas agendas brasileir</w:t>
      </w:r>
      <w:r>
        <w:rPr>
          <w:rFonts w:hAnsi="Georgia" w:eastAsia="Georgia" w:cs="Georgia"/>
          <w:color w:val="000000"/>
        </w:rPr>
        <w:t>as pesquisadas (REVISTA DO SERVIÇO PÚBLICO, 2025a; REVISTA DO SERVIÇO PÚBLICO, 2025b; DESENVOLVIMENTO EM QUESTÃO, 2024).</w:t>
      </w:r>
    </w:p>
    <w:p w:rsidR="00696C15" w:rsidRDefault="0091173A" w14:paraId="44101917" w14:textId="77777777">
      <w:pPr>
        <w:spacing w:before="315" w:after="105" w:line="360" w:lineRule="auto"/>
        <w:ind w:left="-30"/>
      </w:pPr>
      <w:bookmarkStart w:name="critérios_e_limites" w:id="2"/>
      <w:r>
        <w:rPr>
          <w:rFonts w:hAnsi="Georgia" w:eastAsia="Georgia" w:cs="Georgia"/>
          <w:b/>
          <w:color w:val="000000"/>
          <w:sz w:val="24"/>
        </w:rPr>
        <w:t>Critérios e limites</w:t>
      </w:r>
      <w:bookmarkEnd w:id="2"/>
    </w:p>
    <w:p w:rsidR="00696C15" w:rsidRDefault="0091173A" w14:paraId="1D110B83" w14:textId="77777777">
      <w:pPr>
        <w:numPr>
          <w:ilvl w:val="0"/>
          <w:numId w:val="1"/>
        </w:numPr>
        <w:spacing w:before="105" w:after="105" w:line="360" w:lineRule="auto"/>
      </w:pPr>
      <w:r>
        <w:rPr>
          <w:rFonts w:hAnsi="Georgia" w:eastAsia="Georgia" w:cs="Georgia"/>
          <w:color w:val="000000"/>
        </w:rPr>
        <w:t>Bases e repositórios pesquisados: SciELO, Google Scholar por consulta indireta via busca web e repositórios brasileiros, com destaque para FGV, ENAP e UnB (SCIELO, 2025; FGV, s.d.; REVISTA DO SERVIÇO PÚBLICO, 2025a).</w:t>
      </w:r>
    </w:p>
    <w:p w:rsidR="00696C15" w:rsidRDefault="0091173A" w14:paraId="0357726A" w14:textId="77777777">
      <w:pPr>
        <w:numPr>
          <w:ilvl w:val="0"/>
          <w:numId w:val="1"/>
        </w:numPr>
        <w:spacing w:before="105" w:after="105" w:line="360" w:lineRule="auto"/>
      </w:pPr>
      <w:r>
        <w:rPr>
          <w:rFonts w:hAnsi="Georgia" w:eastAsia="Georgia" w:cs="Georgia"/>
          <w:color w:val="000000"/>
        </w:rPr>
        <w:t>Termos centrais: “Stafford Beer”, “Modelo de Sistema Viável”, “MSV”, “cibernética organizacional” combinados com “Brasil”, “gestão pública”, “política industrial” e “regulação” (FGV, s.d.; REVISTA DO SERVIÇO PÚBLICO, 2025a).</w:t>
      </w:r>
    </w:p>
    <w:p w:rsidR="00696C15" w:rsidRDefault="0091173A" w14:paraId="640DA5AE" w14:textId="77777777">
      <w:pPr>
        <w:numPr>
          <w:ilvl w:val="0"/>
          <w:numId w:val="1"/>
        </w:numPr>
        <w:spacing w:before="105" w:after="105" w:line="360" w:lineRule="auto"/>
      </w:pPr>
      <w:r>
        <w:rPr>
          <w:rFonts w:hAnsi="Georgia" w:eastAsia="Georgia" w:cs="Georgia"/>
          <w:color w:val="000000"/>
        </w:rPr>
        <w:t>Limitação principal: nem todos os resultados do Google Scholar são acessíveis integralmente por indexação aberta; por isso, a análise privilegia documentos com texto ou resumo recuperável em fontes abertas (FGV, s.d.; REVISTA DO SERVIÇO PÚBLICO, 2025a).</w:t>
      </w:r>
    </w:p>
    <w:p w:rsidR="00696C15" w:rsidRDefault="0091173A" w14:paraId="2EC5F0B1" w14:textId="77777777">
      <w:pPr>
        <w:spacing w:before="315" w:after="105" w:line="360" w:lineRule="auto"/>
        <w:ind w:left="-30"/>
      </w:pPr>
      <w:bookmarkStart w:name="trabalhos_identificados" w:id="3"/>
      <w:r>
        <w:rPr>
          <w:rFonts w:hAnsi="Georgia" w:eastAsia="Georgia" w:cs="Georgia"/>
          <w:b/>
          <w:color w:val="000000"/>
          <w:sz w:val="24"/>
        </w:rPr>
        <w:t>Trabalhos identificados</w:t>
      </w:r>
      <w:bookmarkEnd w:id="3"/>
    </w:p>
    <w:tbl>
      <w:tblPr>
        <w:tblStyle w:val="TableGrid"/>
        <w:tblW w:w="0" w:type="auto"/>
        <w:jc w:val="center"/>
        <w:tblCellSpacing w:w="0" w:type="dxa"/>
        <w:tblBorders>
          <w:top w:val="single" w:color="000000" w:sz="2" w:space="0"/>
          <w:left w:val="single" w:color="000000" w:sz="2" w:space="0"/>
          <w:bottom w:val="single" w:color="000000" w:sz="2" w:space="0"/>
          <w:right w:val="single" w:color="000000" w:sz="2" w:space="0"/>
        </w:tblBorders>
        <w:tblLook w:val="04A0" w:firstRow="1" w:lastRow="0" w:firstColumn="1" w:lastColumn="0" w:noHBand="0" w:noVBand="1"/>
      </w:tblPr>
      <w:tblGrid>
        <w:gridCol w:w="1669"/>
        <w:gridCol w:w="1269"/>
        <w:gridCol w:w="701"/>
        <w:gridCol w:w="1681"/>
        <w:gridCol w:w="1118"/>
        <w:gridCol w:w="3066"/>
      </w:tblGrid>
      <w:tr w:rsidR="00696C15" w14:paraId="4CD5910B" w14:textId="77777777">
        <w:trPr>
          <w:cantSplit/>
          <w:tblCellSpacing w:w="0" w:type="dxa"/>
          <w:jc w:val="center"/>
        </w:trPr>
        <w:tc>
          <w:tcPr>
            <w:tcW w:w="0" w:type="auto"/>
            <w:tcBorders>
              <w:top w:val="single" w:color="000000" w:sz="1" w:space="0"/>
              <w:bottom w:val="single" w:color="000000" w:sz="1" w:space="0"/>
              <w:right w:val="single" w:color="000000" w:sz="1" w:space="0"/>
            </w:tcBorders>
          </w:tcPr>
          <w:p w:rsidR="00696C15" w:rsidRDefault="0091173A" w14:paraId="17BBD0D2" w14:textId="77777777">
            <w:pPr>
              <w:spacing w:line="360" w:lineRule="auto"/>
            </w:pPr>
            <w:r>
              <w:rPr>
                <w:rFonts w:ascii="helvetica neue" w:hAnsi="helvetica neue" w:eastAsia="helvetica neue" w:cs="helvetica neue"/>
                <w:color w:val="000000"/>
                <w:sz w:val="17"/>
              </w:rPr>
              <w:t>Trabalho</w:t>
            </w:r>
          </w:p>
        </w:tc>
        <w:tc>
          <w:tcPr>
            <w:tcW w:w="0" w:type="auto"/>
            <w:tcBorders>
              <w:top w:val="single" w:color="000000" w:sz="1" w:space="0"/>
              <w:bottom w:val="single" w:color="000000" w:sz="1" w:space="0"/>
              <w:right w:val="single" w:color="000000" w:sz="1" w:space="0"/>
            </w:tcBorders>
          </w:tcPr>
          <w:p w:rsidR="00696C15" w:rsidRDefault="0091173A" w14:paraId="41B09B17" w14:textId="77777777">
            <w:pPr>
              <w:spacing w:line="360" w:lineRule="auto"/>
            </w:pPr>
            <w:r>
              <w:rPr>
                <w:rFonts w:ascii="helvetica neue" w:hAnsi="helvetica neue" w:eastAsia="helvetica neue" w:cs="helvetica neue"/>
                <w:color w:val="000000"/>
                <w:sz w:val="17"/>
              </w:rPr>
              <w:t>Autores</w:t>
            </w:r>
          </w:p>
        </w:tc>
        <w:tc>
          <w:tcPr>
            <w:tcW w:w="0" w:type="auto"/>
            <w:tcBorders>
              <w:top w:val="single" w:color="000000" w:sz="1" w:space="0"/>
              <w:bottom w:val="single" w:color="000000" w:sz="1" w:space="0"/>
              <w:right w:val="single" w:color="000000" w:sz="1" w:space="0"/>
            </w:tcBorders>
          </w:tcPr>
          <w:p w:rsidR="00696C15" w:rsidRDefault="0091173A" w14:paraId="60EAE9A4" w14:textId="77777777">
            <w:pPr>
              <w:spacing w:line="360" w:lineRule="auto"/>
              <w:jc w:val="right"/>
            </w:pPr>
            <w:r>
              <w:rPr>
                <w:rFonts w:ascii="helvetica neue" w:hAnsi="helvetica neue" w:eastAsia="helvetica neue" w:cs="helvetica neue"/>
                <w:color w:val="000000"/>
                <w:sz w:val="17"/>
              </w:rPr>
              <w:t>Ano</w:t>
            </w:r>
          </w:p>
        </w:tc>
        <w:tc>
          <w:tcPr>
            <w:tcW w:w="0" w:type="auto"/>
            <w:tcBorders>
              <w:top w:val="single" w:color="000000" w:sz="1" w:space="0"/>
              <w:bottom w:val="single" w:color="000000" w:sz="1" w:space="0"/>
              <w:right w:val="single" w:color="000000" w:sz="1" w:space="0"/>
            </w:tcBorders>
          </w:tcPr>
          <w:p w:rsidR="00696C15" w:rsidRDefault="0091173A" w14:paraId="2D0A542F" w14:textId="77777777">
            <w:pPr>
              <w:spacing w:line="360" w:lineRule="auto"/>
            </w:pPr>
            <w:r>
              <w:rPr>
                <w:rFonts w:ascii="helvetica neue" w:hAnsi="helvetica neue" w:eastAsia="helvetica neue" w:cs="helvetica neue"/>
                <w:color w:val="000000"/>
                <w:sz w:val="17"/>
              </w:rPr>
              <w:t>Base/repositório</w:t>
            </w:r>
          </w:p>
        </w:tc>
        <w:tc>
          <w:tcPr>
            <w:tcW w:w="0" w:type="auto"/>
            <w:tcBorders>
              <w:top w:val="single" w:color="000000" w:sz="1" w:space="0"/>
              <w:bottom w:val="single" w:color="000000" w:sz="1" w:space="0"/>
              <w:right w:val="single" w:color="000000" w:sz="1" w:space="0"/>
            </w:tcBorders>
          </w:tcPr>
          <w:p w:rsidR="00696C15" w:rsidRDefault="0091173A" w14:paraId="48DAB362" w14:textId="77777777">
            <w:pPr>
              <w:spacing w:line="360" w:lineRule="auto"/>
            </w:pPr>
            <w:r>
              <w:rPr>
                <w:rFonts w:ascii="helvetica neue" w:hAnsi="helvetica neue" w:eastAsia="helvetica neue" w:cs="helvetica neue"/>
                <w:color w:val="000000"/>
                <w:sz w:val="17"/>
              </w:rPr>
              <w:t>Aplicação</w:t>
            </w:r>
          </w:p>
        </w:tc>
        <w:tc>
          <w:tcPr>
            <w:tcW w:w="0" w:type="auto"/>
            <w:tcBorders>
              <w:top w:val="single" w:color="000000" w:sz="1" w:space="0"/>
              <w:bottom w:val="single" w:color="000000" w:sz="1" w:space="0"/>
            </w:tcBorders>
          </w:tcPr>
          <w:p w:rsidR="00696C15" w:rsidRDefault="0091173A" w14:paraId="02D10C8E" w14:textId="77777777">
            <w:pPr>
              <w:spacing w:line="360" w:lineRule="auto"/>
            </w:pPr>
            <w:r>
              <w:rPr>
                <w:rFonts w:ascii="helvetica neue" w:hAnsi="helvetica neue" w:eastAsia="helvetica neue" w:cs="helvetica neue"/>
                <w:color w:val="000000"/>
                <w:sz w:val="17"/>
              </w:rPr>
              <w:t>Resumo e achados principais</w:t>
            </w:r>
          </w:p>
        </w:tc>
      </w:tr>
      <w:tr w:rsidR="00696C15" w14:paraId="77BEB1CF" w14:textId="77777777">
        <w:trPr>
          <w:cantSplit/>
          <w:tblCellSpacing w:w="0" w:type="dxa"/>
          <w:jc w:val="center"/>
        </w:trPr>
        <w:tc>
          <w:tcPr>
            <w:tcW w:w="0" w:type="auto"/>
            <w:tcBorders>
              <w:top w:val="single" w:color="000000" w:sz="1" w:space="0"/>
              <w:bottom w:val="single" w:color="000000" w:sz="1" w:space="0"/>
              <w:right w:val="single" w:color="000000" w:sz="1" w:space="0"/>
            </w:tcBorders>
          </w:tcPr>
          <w:p w:rsidR="00696C15" w:rsidRDefault="0091173A" w14:paraId="7076E50B" w14:textId="77777777">
            <w:pPr>
              <w:spacing w:line="360" w:lineRule="auto"/>
            </w:pPr>
            <w:r>
              <w:rPr>
                <w:rFonts w:ascii="helvetica neue" w:hAnsi="helvetica neue" w:eastAsia="helvetica neue" w:cs="helvetica neue"/>
                <w:color w:val="000000"/>
                <w:sz w:val="17"/>
              </w:rPr>
              <w:t>Análise da viabilidade do sistema de auditorias de obras públicas do Tribunal de Contas do Estado do Rio de Janeiro à luz do Modelo de Sistema Viável</w:t>
            </w:r>
          </w:p>
        </w:tc>
        <w:tc>
          <w:tcPr>
            <w:tcW w:w="0" w:type="auto"/>
            <w:tcBorders>
              <w:top w:val="single" w:color="000000" w:sz="1" w:space="0"/>
              <w:bottom w:val="single" w:color="000000" w:sz="1" w:space="0"/>
              <w:right w:val="single" w:color="000000" w:sz="1" w:space="0"/>
            </w:tcBorders>
          </w:tcPr>
          <w:p w:rsidR="00696C15" w:rsidRDefault="0091173A" w14:paraId="26FD5ADC" w14:textId="77777777">
            <w:pPr>
              <w:spacing w:line="360" w:lineRule="auto"/>
            </w:pPr>
            <w:r>
              <w:rPr>
                <w:rFonts w:ascii="helvetica neue" w:hAnsi="helvetica neue" w:eastAsia="helvetica neue" w:cs="helvetica neue"/>
                <w:color w:val="000000"/>
                <w:sz w:val="17"/>
              </w:rPr>
              <w:t>Marconi Canuto Brasil</w:t>
            </w:r>
          </w:p>
        </w:tc>
        <w:tc>
          <w:tcPr>
            <w:tcW w:w="0" w:type="auto"/>
            <w:tcBorders>
              <w:top w:val="single" w:color="000000" w:sz="1" w:space="0"/>
              <w:bottom w:val="single" w:color="000000" w:sz="1" w:space="0"/>
              <w:right w:val="single" w:color="000000" w:sz="1" w:space="0"/>
            </w:tcBorders>
          </w:tcPr>
          <w:p w:rsidR="00696C15" w:rsidRDefault="0091173A" w14:paraId="5EB85B82" w14:textId="77777777">
            <w:pPr>
              <w:spacing w:line="360" w:lineRule="auto"/>
              <w:jc w:val="right"/>
            </w:pPr>
            <w:r>
              <w:rPr>
                <w:rFonts w:ascii="helvetica neue" w:hAnsi="helvetica neue" w:eastAsia="helvetica neue" w:cs="helvetica neue"/>
                <w:color w:val="000000"/>
                <w:sz w:val="17"/>
              </w:rPr>
              <w:t>2008</w:t>
            </w:r>
          </w:p>
        </w:tc>
        <w:tc>
          <w:tcPr>
            <w:tcW w:w="0" w:type="auto"/>
            <w:tcBorders>
              <w:top w:val="single" w:color="000000" w:sz="1" w:space="0"/>
              <w:bottom w:val="single" w:color="000000" w:sz="1" w:space="0"/>
              <w:right w:val="single" w:color="000000" w:sz="1" w:space="0"/>
            </w:tcBorders>
          </w:tcPr>
          <w:p w:rsidR="00696C15" w:rsidRDefault="0091173A" w14:paraId="03278FEE" w14:textId="77777777">
            <w:pPr>
              <w:spacing w:line="360" w:lineRule="auto"/>
            </w:pPr>
            <w:r>
              <w:rPr>
                <w:rFonts w:ascii="helvetica neue" w:hAnsi="helvetica neue" w:eastAsia="helvetica neue" w:cs="helvetica neue"/>
                <w:color w:val="000000"/>
                <w:sz w:val="17"/>
              </w:rPr>
              <w:t>Dissertação de mestrado, FGV/EBAPE</w:t>
            </w:r>
          </w:p>
        </w:tc>
        <w:tc>
          <w:tcPr>
            <w:tcW w:w="0" w:type="auto"/>
            <w:tcBorders>
              <w:top w:val="single" w:color="000000" w:sz="1" w:space="0"/>
              <w:bottom w:val="single" w:color="000000" w:sz="1" w:space="0"/>
              <w:right w:val="single" w:color="000000" w:sz="1" w:space="0"/>
            </w:tcBorders>
          </w:tcPr>
          <w:p w:rsidR="00696C15" w:rsidRDefault="0091173A" w14:paraId="58D9B28F" w14:textId="77777777">
            <w:pPr>
              <w:spacing w:line="360" w:lineRule="auto"/>
            </w:pPr>
            <w:r>
              <w:rPr>
                <w:rFonts w:ascii="helvetica neue" w:hAnsi="helvetica neue" w:eastAsia="helvetica neue" w:cs="helvetica neue"/>
                <w:color w:val="000000"/>
                <w:sz w:val="17"/>
              </w:rPr>
              <w:t>Gestão pública / controle externo</w:t>
            </w:r>
          </w:p>
        </w:tc>
        <w:tc>
          <w:tcPr>
            <w:tcW w:w="0" w:type="auto"/>
            <w:tcBorders>
              <w:top w:val="single" w:color="000000" w:sz="1" w:space="0"/>
              <w:bottom w:val="single" w:color="000000" w:sz="1" w:space="0"/>
            </w:tcBorders>
          </w:tcPr>
          <w:p w:rsidR="00696C15" w:rsidRDefault="0091173A" w14:paraId="4AC25393" w14:textId="77777777">
            <w:pPr>
              <w:spacing w:line="360" w:lineRule="auto"/>
            </w:pPr>
            <w:r>
              <w:rPr>
                <w:rFonts w:ascii="helvetica neue" w:hAnsi="helvetica neue" w:eastAsia="helvetica neue" w:cs="helvetica neue"/>
                <w:color w:val="000000"/>
                <w:sz w:val="17"/>
              </w:rPr>
              <w:t xml:space="preserve">A dissertação analisa se o sistema de auditorias de obras públicas do TCERJ pode ser considerado viável à luz do Modelo de Sistema Viável. O estudo conclui que, no nível normativo, o sistema não é viável, identificando falhas de integração, comunicação, normatização de rotinas e capacidade operacional frente à complexidade da demanda. O MSV ajudou a evidenciar gargalos de coordenação, déficit de integração intersetorial e insuficiência de capacidade para responder às demandas sociais. A aplicação demonstra </w:t>
            </w:r>
            <w:r>
              <w:rPr>
                <w:rFonts w:ascii="helvetica neue" w:hAnsi="helvetica neue" w:eastAsia="helvetica neue" w:cs="helvetica neue"/>
                <w:color w:val="000000"/>
                <w:sz w:val="17"/>
              </w:rPr>
              <w:t>utilidade diagnóstica do modelo em órgãos de controle, mas o trabalho é anterior ao recorte temporal solicitado (BRASIL, 2008).</w:t>
            </w:r>
          </w:p>
        </w:tc>
      </w:tr>
      <w:tr w:rsidR="00696C15" w14:paraId="5EE12B54" w14:textId="77777777">
        <w:trPr>
          <w:cantSplit/>
          <w:tblCellSpacing w:w="0" w:type="dxa"/>
          <w:jc w:val="center"/>
        </w:trPr>
        <w:tc>
          <w:tcPr>
            <w:tcW w:w="0" w:type="auto"/>
            <w:tcBorders>
              <w:top w:val="single" w:color="000000" w:sz="1" w:space="0"/>
              <w:bottom w:val="single" w:color="000000" w:sz="1" w:space="0"/>
              <w:right w:val="single" w:color="000000" w:sz="1" w:space="0"/>
            </w:tcBorders>
          </w:tcPr>
          <w:p w:rsidR="00696C15" w:rsidRDefault="0091173A" w14:paraId="6989D8C1" w14:textId="77777777">
            <w:pPr>
              <w:spacing w:line="360" w:lineRule="auto"/>
            </w:pPr>
            <w:r>
              <w:rPr>
                <w:rFonts w:ascii="helvetica neue" w:hAnsi="helvetica neue" w:eastAsia="helvetica neue" w:cs="helvetica neue"/>
                <w:color w:val="000000"/>
                <w:sz w:val="17"/>
              </w:rPr>
              <w:t>Capacidades estatais e desafios da política industrial brasileira</w:t>
            </w:r>
          </w:p>
        </w:tc>
        <w:tc>
          <w:tcPr>
            <w:tcW w:w="0" w:type="auto"/>
            <w:tcBorders>
              <w:top w:val="single" w:color="000000" w:sz="1" w:space="0"/>
              <w:bottom w:val="single" w:color="000000" w:sz="1" w:space="0"/>
              <w:right w:val="single" w:color="000000" w:sz="1" w:space="0"/>
            </w:tcBorders>
          </w:tcPr>
          <w:p w:rsidR="00696C15" w:rsidRDefault="0091173A" w14:paraId="4EA7C1B6" w14:textId="77777777">
            <w:pPr>
              <w:spacing w:line="360" w:lineRule="auto"/>
            </w:pPr>
            <w:r>
              <w:rPr>
                <w:rFonts w:ascii="helvetica neue" w:hAnsi="helvetica neue" w:eastAsia="helvetica neue" w:cs="helvetica neue"/>
                <w:color w:val="000000"/>
                <w:sz w:val="17"/>
              </w:rPr>
              <w:t>Autoria não identificada no trecho recuperado</w:t>
            </w:r>
          </w:p>
        </w:tc>
        <w:tc>
          <w:tcPr>
            <w:tcW w:w="0" w:type="auto"/>
            <w:tcBorders>
              <w:top w:val="single" w:color="000000" w:sz="1" w:space="0"/>
              <w:bottom w:val="single" w:color="000000" w:sz="1" w:space="0"/>
              <w:right w:val="single" w:color="000000" w:sz="1" w:space="0"/>
            </w:tcBorders>
          </w:tcPr>
          <w:p w:rsidR="00696C15" w:rsidRDefault="0091173A" w14:paraId="3C32F1D6" w14:textId="77777777">
            <w:pPr>
              <w:spacing w:line="360" w:lineRule="auto"/>
              <w:jc w:val="right"/>
            </w:pPr>
            <w:r>
              <w:rPr>
                <w:rFonts w:ascii="helvetica neue" w:hAnsi="helvetica neue" w:eastAsia="helvetica neue" w:cs="helvetica neue"/>
                <w:color w:val="000000"/>
                <w:sz w:val="17"/>
              </w:rPr>
              <w:t>2025</w:t>
            </w:r>
          </w:p>
        </w:tc>
        <w:tc>
          <w:tcPr>
            <w:tcW w:w="0" w:type="auto"/>
            <w:tcBorders>
              <w:top w:val="single" w:color="000000" w:sz="1" w:space="0"/>
              <w:bottom w:val="single" w:color="000000" w:sz="1" w:space="0"/>
              <w:right w:val="single" w:color="000000" w:sz="1" w:space="0"/>
            </w:tcBorders>
          </w:tcPr>
          <w:p w:rsidR="00696C15" w:rsidRDefault="0091173A" w14:paraId="6A998F04" w14:textId="77777777">
            <w:pPr>
              <w:spacing w:line="360" w:lineRule="auto"/>
            </w:pPr>
            <w:r>
              <w:rPr>
                <w:rFonts w:ascii="helvetica neue" w:hAnsi="helvetica neue" w:eastAsia="helvetica neue" w:cs="helvetica neue"/>
                <w:color w:val="000000"/>
                <w:sz w:val="17"/>
              </w:rPr>
              <w:t>Revista do Serviço Público / ENAP</w:t>
            </w:r>
          </w:p>
        </w:tc>
        <w:tc>
          <w:tcPr>
            <w:tcW w:w="0" w:type="auto"/>
            <w:tcBorders>
              <w:top w:val="single" w:color="000000" w:sz="1" w:space="0"/>
              <w:bottom w:val="single" w:color="000000" w:sz="1" w:space="0"/>
              <w:right w:val="single" w:color="000000" w:sz="1" w:space="0"/>
            </w:tcBorders>
          </w:tcPr>
          <w:p w:rsidR="00696C15" w:rsidRDefault="0091173A" w14:paraId="78227BD4" w14:textId="77777777">
            <w:pPr>
              <w:spacing w:line="360" w:lineRule="auto"/>
            </w:pPr>
            <w:r>
              <w:rPr>
                <w:rFonts w:ascii="helvetica neue" w:hAnsi="helvetica neue" w:eastAsia="helvetica neue" w:cs="helvetica neue"/>
                <w:color w:val="000000"/>
                <w:sz w:val="17"/>
              </w:rPr>
              <w:t>Política industrial</w:t>
            </w:r>
          </w:p>
        </w:tc>
        <w:tc>
          <w:tcPr>
            <w:tcW w:w="0" w:type="auto"/>
            <w:tcBorders>
              <w:top w:val="single" w:color="000000" w:sz="1" w:space="0"/>
              <w:bottom w:val="single" w:color="000000" w:sz="1" w:space="0"/>
            </w:tcBorders>
          </w:tcPr>
          <w:p w:rsidR="00696C15" w:rsidRDefault="0091173A" w14:paraId="0CAAE2DC" w14:textId="77777777">
            <w:pPr>
              <w:spacing w:line="360" w:lineRule="auto"/>
            </w:pPr>
            <w:r>
              <w:rPr>
                <w:rFonts w:ascii="helvetica neue" w:hAnsi="helvetica neue" w:eastAsia="helvetica neue" w:cs="helvetica neue"/>
                <w:color w:val="000000"/>
                <w:sz w:val="17"/>
              </w:rPr>
              <w:t>O artigo sustenta que o principal entrave à efetividade das políticas industriais brasileiras não está apenas nos instrumentos adotados, mas na limitada capacidade estatal de sustentar estratégias de desenvolvimento produtivo ao longo do tempo. Defende arranjos institucionais sólidos, capacidades burocrático-organizacionais e mecanismos de articulação público-privada. Embora não use explicitamente Stafford Beer ou o MSV, o texto converge com a lógica cibernética ao enfatizar coordenação, capacidade adaptati</w:t>
            </w:r>
            <w:r>
              <w:rPr>
                <w:rFonts w:ascii="helvetica neue" w:hAnsi="helvetica neue" w:eastAsia="helvetica neue" w:cs="helvetica neue"/>
                <w:color w:val="000000"/>
                <w:sz w:val="17"/>
              </w:rPr>
              <w:t>va e pactos estratégicos como condições de viabilidade de políticas industriais (REVISTA DO SERVIÇO PÚBLICO, 2025a).</w:t>
            </w:r>
          </w:p>
        </w:tc>
      </w:tr>
      <w:tr w:rsidR="00696C15" w14:paraId="3F6ABEE9" w14:textId="77777777">
        <w:trPr>
          <w:cantSplit/>
          <w:tblCellSpacing w:w="0" w:type="dxa"/>
          <w:jc w:val="center"/>
        </w:trPr>
        <w:tc>
          <w:tcPr>
            <w:tcW w:w="0" w:type="auto"/>
            <w:tcBorders>
              <w:top w:val="single" w:color="000000" w:sz="1" w:space="0"/>
              <w:bottom w:val="single" w:color="000000" w:sz="1" w:space="0"/>
              <w:right w:val="single" w:color="000000" w:sz="1" w:space="0"/>
            </w:tcBorders>
          </w:tcPr>
          <w:p w:rsidR="00696C15" w:rsidRDefault="0091173A" w14:paraId="3055F399" w14:textId="77777777">
            <w:pPr>
              <w:spacing w:line="360" w:lineRule="auto"/>
            </w:pPr>
            <w:r>
              <w:rPr>
                <w:rFonts w:ascii="helvetica neue" w:hAnsi="helvetica neue" w:eastAsia="helvetica neue" w:cs="helvetica neue"/>
                <w:color w:val="000000"/>
                <w:sz w:val="17"/>
              </w:rPr>
              <w:t>Capacidades estatais e desafios da política industrial brasileira</w:t>
            </w:r>
          </w:p>
        </w:tc>
        <w:tc>
          <w:tcPr>
            <w:tcW w:w="0" w:type="auto"/>
            <w:tcBorders>
              <w:top w:val="single" w:color="000000" w:sz="1" w:space="0"/>
              <w:bottom w:val="single" w:color="000000" w:sz="1" w:space="0"/>
              <w:right w:val="single" w:color="000000" w:sz="1" w:space="0"/>
            </w:tcBorders>
          </w:tcPr>
          <w:p w:rsidR="00696C15" w:rsidRDefault="0091173A" w14:paraId="38869F8F" w14:textId="77777777">
            <w:pPr>
              <w:spacing w:line="360" w:lineRule="auto"/>
            </w:pPr>
            <w:r>
              <w:rPr>
                <w:rFonts w:ascii="helvetica neue" w:hAnsi="helvetica neue" w:eastAsia="helvetica neue" w:cs="helvetica neue"/>
                <w:color w:val="000000"/>
                <w:sz w:val="17"/>
              </w:rPr>
              <w:t>Autoria não identificada no trecho recuperado</w:t>
            </w:r>
          </w:p>
        </w:tc>
        <w:tc>
          <w:tcPr>
            <w:tcW w:w="0" w:type="auto"/>
            <w:tcBorders>
              <w:top w:val="single" w:color="000000" w:sz="1" w:space="0"/>
              <w:bottom w:val="single" w:color="000000" w:sz="1" w:space="0"/>
              <w:right w:val="single" w:color="000000" w:sz="1" w:space="0"/>
            </w:tcBorders>
          </w:tcPr>
          <w:p w:rsidR="00696C15" w:rsidRDefault="0091173A" w14:paraId="49F96DD5" w14:textId="77777777">
            <w:pPr>
              <w:spacing w:line="360" w:lineRule="auto"/>
              <w:jc w:val="right"/>
            </w:pPr>
            <w:r>
              <w:rPr>
                <w:rFonts w:ascii="helvetica neue" w:hAnsi="helvetica neue" w:eastAsia="helvetica neue" w:cs="helvetica neue"/>
                <w:color w:val="000000"/>
                <w:sz w:val="17"/>
              </w:rPr>
              <w:t>2025</w:t>
            </w:r>
          </w:p>
        </w:tc>
        <w:tc>
          <w:tcPr>
            <w:tcW w:w="0" w:type="auto"/>
            <w:tcBorders>
              <w:top w:val="single" w:color="000000" w:sz="1" w:space="0"/>
              <w:bottom w:val="single" w:color="000000" w:sz="1" w:space="0"/>
              <w:right w:val="single" w:color="000000" w:sz="1" w:space="0"/>
            </w:tcBorders>
          </w:tcPr>
          <w:p w:rsidR="00696C15" w:rsidRDefault="0091173A" w14:paraId="364D2477" w14:textId="77777777">
            <w:pPr>
              <w:spacing w:line="360" w:lineRule="auto"/>
            </w:pPr>
            <w:r>
              <w:rPr>
                <w:rFonts w:ascii="helvetica neue" w:hAnsi="helvetica neue" w:eastAsia="helvetica neue" w:cs="helvetica neue"/>
                <w:color w:val="000000"/>
                <w:sz w:val="17"/>
              </w:rPr>
              <w:t>Revista do Serviço Público / ENAP</w:t>
            </w:r>
          </w:p>
        </w:tc>
        <w:tc>
          <w:tcPr>
            <w:tcW w:w="0" w:type="auto"/>
            <w:tcBorders>
              <w:top w:val="single" w:color="000000" w:sz="1" w:space="0"/>
              <w:bottom w:val="single" w:color="000000" w:sz="1" w:space="0"/>
              <w:right w:val="single" w:color="000000" w:sz="1" w:space="0"/>
            </w:tcBorders>
          </w:tcPr>
          <w:p w:rsidR="00696C15" w:rsidRDefault="0091173A" w14:paraId="68C595EB" w14:textId="77777777">
            <w:pPr>
              <w:spacing w:line="360" w:lineRule="auto"/>
            </w:pPr>
            <w:r>
              <w:rPr>
                <w:rFonts w:ascii="helvetica neue" w:hAnsi="helvetica neue" w:eastAsia="helvetica neue" w:cs="helvetica neue"/>
                <w:color w:val="000000"/>
                <w:sz w:val="17"/>
              </w:rPr>
              <w:t>Política industrial</w:t>
            </w:r>
          </w:p>
        </w:tc>
        <w:tc>
          <w:tcPr>
            <w:tcW w:w="0" w:type="auto"/>
            <w:tcBorders>
              <w:top w:val="single" w:color="000000" w:sz="1" w:space="0"/>
              <w:bottom w:val="single" w:color="000000" w:sz="1" w:space="0"/>
            </w:tcBorders>
          </w:tcPr>
          <w:p w:rsidR="00696C15" w:rsidRDefault="0091173A" w14:paraId="02ABF546" w14:textId="77777777">
            <w:pPr>
              <w:spacing w:line="360" w:lineRule="auto"/>
            </w:pPr>
            <w:r>
              <w:rPr>
                <w:rFonts w:ascii="helvetica neue" w:hAnsi="helvetica neue" w:eastAsia="helvetica neue" w:cs="helvetica neue"/>
                <w:color w:val="000000"/>
                <w:sz w:val="17"/>
              </w:rPr>
              <w:t>O texto argumenta que políticas industriais orientadas por missões exigem capacidades estatais técnicas, políticas e relacionais, além de estruturas robustas de coordenação e legitimidade social. A leitura cibernética sugere proximidade conceitual com Beer, especialmente na ênfase em coordenação dinâmica e adaptação, mas não há indicação de uso explícito do MSV (REVISTA DO SERVIÇO PÚBLICO, 2025b).</w:t>
            </w:r>
          </w:p>
        </w:tc>
      </w:tr>
      <w:tr w:rsidR="00696C15" w14:paraId="0CDFFB96" w14:textId="77777777">
        <w:trPr>
          <w:cantSplit/>
          <w:tblCellSpacing w:w="0" w:type="dxa"/>
          <w:jc w:val="center"/>
        </w:trPr>
        <w:tc>
          <w:tcPr>
            <w:tcW w:w="0" w:type="auto"/>
            <w:tcBorders>
              <w:top w:val="single" w:color="000000" w:sz="1" w:space="0"/>
              <w:bottom w:val="single" w:color="000000" w:sz="1" w:space="0"/>
              <w:right w:val="single" w:color="000000" w:sz="1" w:space="0"/>
            </w:tcBorders>
          </w:tcPr>
          <w:p w:rsidR="00696C15" w:rsidRDefault="0091173A" w14:paraId="7560590A" w14:textId="77777777">
            <w:pPr>
              <w:spacing w:line="360" w:lineRule="auto"/>
            </w:pPr>
            <w:r>
              <w:rPr>
                <w:rFonts w:ascii="helvetica neue" w:hAnsi="helvetica neue" w:eastAsia="helvetica neue" w:cs="helvetica neue"/>
                <w:color w:val="000000"/>
                <w:sz w:val="17"/>
              </w:rPr>
              <w:t>Inovação na gestão pública brasileira: análise da produção científica</w:t>
            </w:r>
          </w:p>
        </w:tc>
        <w:tc>
          <w:tcPr>
            <w:tcW w:w="0" w:type="auto"/>
            <w:tcBorders>
              <w:top w:val="single" w:color="000000" w:sz="1" w:space="0"/>
              <w:bottom w:val="single" w:color="000000" w:sz="1" w:space="0"/>
              <w:right w:val="single" w:color="000000" w:sz="1" w:space="0"/>
            </w:tcBorders>
          </w:tcPr>
          <w:p w:rsidR="00696C15" w:rsidRDefault="0091173A" w14:paraId="70ED456D" w14:textId="77777777">
            <w:pPr>
              <w:spacing w:line="360" w:lineRule="auto"/>
            </w:pPr>
            <w:r>
              <w:rPr>
                <w:rFonts w:ascii="helvetica neue" w:hAnsi="helvetica neue" w:eastAsia="helvetica neue" w:cs="helvetica neue"/>
                <w:color w:val="000000"/>
                <w:sz w:val="17"/>
              </w:rPr>
              <w:t>Autoria não identificada no trecho recuperado</w:t>
            </w:r>
          </w:p>
        </w:tc>
        <w:tc>
          <w:tcPr>
            <w:tcW w:w="0" w:type="auto"/>
            <w:tcBorders>
              <w:top w:val="single" w:color="000000" w:sz="1" w:space="0"/>
              <w:bottom w:val="single" w:color="000000" w:sz="1" w:space="0"/>
              <w:right w:val="single" w:color="000000" w:sz="1" w:space="0"/>
            </w:tcBorders>
          </w:tcPr>
          <w:p w:rsidR="00696C15" w:rsidRDefault="0091173A" w14:paraId="3C04FD3E" w14:textId="77777777">
            <w:pPr>
              <w:spacing w:line="360" w:lineRule="auto"/>
              <w:jc w:val="right"/>
            </w:pPr>
            <w:r>
              <w:rPr>
                <w:rFonts w:ascii="helvetica neue" w:hAnsi="helvetica neue" w:eastAsia="helvetica neue" w:cs="helvetica neue"/>
                <w:color w:val="000000"/>
                <w:sz w:val="17"/>
              </w:rPr>
              <w:t>2024</w:t>
            </w:r>
          </w:p>
        </w:tc>
        <w:tc>
          <w:tcPr>
            <w:tcW w:w="0" w:type="auto"/>
            <w:tcBorders>
              <w:top w:val="single" w:color="000000" w:sz="1" w:space="0"/>
              <w:bottom w:val="single" w:color="000000" w:sz="1" w:space="0"/>
              <w:right w:val="single" w:color="000000" w:sz="1" w:space="0"/>
            </w:tcBorders>
          </w:tcPr>
          <w:p w:rsidR="00696C15" w:rsidRDefault="0091173A" w14:paraId="51CB49E3" w14:textId="77777777">
            <w:pPr>
              <w:spacing w:line="360" w:lineRule="auto"/>
            </w:pPr>
            <w:r>
              <w:rPr>
                <w:rFonts w:ascii="helvetica neue" w:hAnsi="helvetica neue" w:eastAsia="helvetica neue" w:cs="helvetica neue"/>
                <w:color w:val="000000"/>
                <w:sz w:val="17"/>
              </w:rPr>
              <w:t>Desenvolvimento em Questão</w:t>
            </w:r>
          </w:p>
        </w:tc>
        <w:tc>
          <w:tcPr>
            <w:tcW w:w="0" w:type="auto"/>
            <w:tcBorders>
              <w:top w:val="single" w:color="000000" w:sz="1" w:space="0"/>
              <w:bottom w:val="single" w:color="000000" w:sz="1" w:space="0"/>
              <w:right w:val="single" w:color="000000" w:sz="1" w:space="0"/>
            </w:tcBorders>
          </w:tcPr>
          <w:p w:rsidR="00696C15" w:rsidRDefault="0091173A" w14:paraId="761043DE" w14:textId="77777777">
            <w:pPr>
              <w:spacing w:line="360" w:lineRule="auto"/>
            </w:pPr>
            <w:r>
              <w:rPr>
                <w:rFonts w:ascii="helvetica neue" w:hAnsi="helvetica neue" w:eastAsia="helvetica neue" w:cs="helvetica neue"/>
                <w:color w:val="000000"/>
                <w:sz w:val="17"/>
              </w:rPr>
              <w:t>Gestão pública</w:t>
            </w:r>
          </w:p>
        </w:tc>
        <w:tc>
          <w:tcPr>
            <w:tcW w:w="0" w:type="auto"/>
            <w:tcBorders>
              <w:top w:val="single" w:color="000000" w:sz="1" w:space="0"/>
              <w:bottom w:val="single" w:color="000000" w:sz="1" w:space="0"/>
            </w:tcBorders>
          </w:tcPr>
          <w:p w:rsidR="00696C15" w:rsidRDefault="0091173A" w14:paraId="18EE7FE2" w14:textId="77777777">
            <w:pPr>
              <w:spacing w:line="360" w:lineRule="auto"/>
            </w:pPr>
            <w:r>
              <w:rPr>
                <w:rFonts w:ascii="helvetica neue" w:hAnsi="helvetica neue" w:eastAsia="helvetica neue" w:cs="helvetica neue"/>
                <w:color w:val="000000"/>
                <w:sz w:val="17"/>
              </w:rPr>
              <w:t>O estudo bibliométrico, com base em Web of Science, Scopus e SciELO, mostra crescimento do interesse em inovação na gestão pública brasileira, com predomínio de métodos qualitativos e destaque para performance e public service como temas promissores. Serve como pano de fundo para entender por que abordagens sistêmicas e de coordenação, incluindo leituras cibernéticas, tendem a ganhar relevância; porém não trata explicitamente de Beer/MSV (DESENVOLVIMENTO EM QUESTÃO, 2024).</w:t>
            </w:r>
          </w:p>
        </w:tc>
      </w:tr>
    </w:tbl>
    <w:p w:rsidR="00696C15" w:rsidRDefault="00696C15" w14:paraId="672A6659" w14:textId="77777777"/>
    <w:p w:rsidR="00696C15" w:rsidRDefault="0091173A" w14:paraId="4818779C" w14:textId="77777777">
      <w:pPr>
        <w:spacing w:before="315" w:after="105" w:line="360" w:lineRule="auto"/>
        <w:ind w:left="-30"/>
      </w:pPr>
      <w:bookmarkStart w:name="leitura_analítica" w:id="4"/>
      <w:r>
        <w:rPr>
          <w:rFonts w:hAnsi="Georgia" w:eastAsia="Georgia" w:cs="Georgia"/>
          <w:b/>
          <w:color w:val="000000"/>
          <w:sz w:val="24"/>
        </w:rPr>
        <w:t>Leitura analítica</w:t>
      </w:r>
      <w:bookmarkEnd w:id="4"/>
    </w:p>
    <w:p w:rsidR="00696C15" w:rsidRDefault="0091173A" w14:paraId="6408B618" w14:textId="77777777">
      <w:pPr>
        <w:spacing w:after="210" w:line="360" w:lineRule="auto"/>
      </w:pPr>
      <w:r w:rsidRPr="02F1AE81" w:rsidR="0091173A">
        <w:rPr>
          <w:rFonts w:hAnsi="Georgia" w:eastAsia="Georgia" w:cs="Georgia"/>
          <w:color w:val="000000" w:themeColor="text1" w:themeTint="FF" w:themeShade="FF"/>
        </w:rPr>
        <w:t>O material encontrado sugere um contraste importante: existe produção recente robusta sobre capacidade estatal, coordenação, governança e inovação no setor público brasileiro, mas ela raramente mobiliza explicitamente a tradição de Beer ou o MSV nos títulos, resumos e trechos acessíveis (REVISTA DO SERVIÇO PÚBLICO, 2025a; REVISTA DO SERVIÇO PÚBLICO, 2025b; DESENVOLVIMENTO EM QUESTÃO, 2024).</w:t>
      </w:r>
      <w:r w:rsidRPr="02F1AE81" w:rsidR="0091173A">
        <w:rPr>
          <w:rFonts w:hAnsi="Georgia" w:eastAsia="Georgia" w:cs="Georgia"/>
          <w:b w:val="1"/>
          <w:bCs w:val="1"/>
          <w:color w:val="000000" w:themeColor="text1" w:themeTint="FF" w:themeShade="FF"/>
        </w:rPr>
        <w:t xml:space="preserve"> Em outras palavras, problemas tipicamente cibernéticos — coordenação, adaptação, controle, aprendizagem e gestão da co</w:t>
      </w:r>
      <w:r w:rsidRPr="02F1AE81" w:rsidR="0091173A">
        <w:rPr>
          <w:rFonts w:hAnsi="Georgia" w:eastAsia="Georgia" w:cs="Georgia"/>
          <w:b w:val="1"/>
          <w:bCs w:val="1"/>
          <w:color w:val="000000" w:themeColor="text1" w:themeTint="FF" w:themeShade="FF"/>
        </w:rPr>
        <w:t>mplexidade — aparecem com frequência, enquanto o vocabulário clássico do MSV aparece pouco</w:t>
      </w:r>
      <w:r w:rsidRPr="02F1AE81" w:rsidR="0091173A">
        <w:rPr>
          <w:rFonts w:hAnsi="Georgia" w:eastAsia="Georgia" w:cs="Georgia"/>
          <w:color w:val="000000" w:themeColor="text1" w:themeTint="FF" w:themeShade="FF"/>
        </w:rPr>
        <w:t xml:space="preserve"> (REVISTA DO SERVIÇO PÚBLICO, 2025a; REVISTA DO SERVIÇO PÚBLICO, 2025b; DESENVOLVIMENTO EM QUESTÃO, 2024).</w:t>
      </w:r>
    </w:p>
    <w:p w:rsidR="00696C15" w:rsidRDefault="0091173A" w14:paraId="77EDB5FC" w14:textId="77777777">
      <w:pPr>
        <w:spacing w:after="210" w:line="360" w:lineRule="auto"/>
      </w:pPr>
      <w:r>
        <w:rPr>
          <w:rFonts w:hAnsi="Georgia" w:eastAsia="Georgia" w:cs="Georgia"/>
          <w:color w:val="000000"/>
        </w:rPr>
        <w:t>O antecedente mais aderente recuperado, a dissertação sobre o TCERJ, mostra como o MSV pode ser aplicado a um problema concreto de gestão pública: diagnosticar inviabilidade organizacional, lacunas de coordenação e limites normativos de um sistema de auditoria pública (BRASIL, 2008). Mesmo fora do recorte temporal, esse trabalho ajuda a demonstrar que o referencial é operacionalizável em órgãos estatais brasileiros e não apenas em organizações privadas (BRASIL, 2008).</w:t>
      </w:r>
    </w:p>
    <w:p w:rsidR="00696C15" w:rsidRDefault="0091173A" w14:paraId="4F12BCE6" w14:textId="77777777">
      <w:pPr>
        <w:spacing w:before="315" w:after="105" w:line="360" w:lineRule="auto"/>
        <w:ind w:left="-30"/>
      </w:pPr>
      <w:bookmarkStart w:name="tendências" w:id="5"/>
      <w:r>
        <w:rPr>
          <w:rFonts w:hAnsi="Georgia" w:eastAsia="Georgia" w:cs="Georgia"/>
          <w:b/>
          <w:color w:val="000000"/>
          <w:sz w:val="24"/>
        </w:rPr>
        <w:t>Tendências</w:t>
      </w:r>
      <w:bookmarkEnd w:id="5"/>
    </w:p>
    <w:p w:rsidR="00696C15" w:rsidRDefault="0091173A" w14:paraId="24A558EC" w14:textId="77777777">
      <w:pPr>
        <w:numPr>
          <w:ilvl w:val="0"/>
          <w:numId w:val="2"/>
        </w:numPr>
        <w:spacing w:before="105" w:after="105" w:line="360" w:lineRule="auto"/>
      </w:pPr>
      <w:r>
        <w:rPr>
          <w:rFonts w:hAnsi="Georgia" w:eastAsia="Georgia" w:cs="Georgia"/>
          <w:b/>
          <w:color w:val="000000"/>
        </w:rPr>
        <w:t>Baixa incidência explícita de Beer/MSV</w:t>
      </w:r>
      <w:r>
        <w:rPr>
          <w:rFonts w:hAnsi="Georgia" w:eastAsia="Georgia" w:cs="Georgia"/>
          <w:color w:val="000000"/>
        </w:rPr>
        <w:t>: os resultados abertos indicam escassez de estudos brasileiros pós-2010 que usem diretamente Stafford Beer/MSV em gestão pública, regulação ou política industrial (FGV, s.d.; REVISTA DO SERVIÇO PÚBLICO, 2025a).</w:t>
      </w:r>
    </w:p>
    <w:p w:rsidR="00696C15" w:rsidRDefault="0091173A" w14:paraId="733C232D" w14:textId="77777777">
      <w:pPr>
        <w:numPr>
          <w:ilvl w:val="0"/>
          <w:numId w:val="2"/>
        </w:numPr>
        <w:spacing w:before="105" w:after="105" w:line="360" w:lineRule="auto"/>
      </w:pPr>
      <w:r>
        <w:rPr>
          <w:rFonts w:hAnsi="Georgia" w:eastAsia="Georgia" w:cs="Georgia"/>
          <w:b/>
          <w:color w:val="000000"/>
        </w:rPr>
        <w:t>Alta incidência de temas convergentes</w:t>
      </w:r>
      <w:r>
        <w:rPr>
          <w:rFonts w:hAnsi="Georgia" w:eastAsia="Georgia" w:cs="Georgia"/>
          <w:color w:val="000000"/>
        </w:rPr>
        <w:t>: capacidades estatais, coordenação interorganizacional, governança adaptativa e inovação aparecem como temas fortes e compatíveis com leitura cibernética (REVISTA DO SERVIÇO PÚBLICO, 2025a; REVISTA DO SERVIÇO PÚBLICO, 2025b; DESENVOLVIMENTO EM QUESTÃO, 2024).</w:t>
      </w:r>
    </w:p>
    <w:p w:rsidR="00696C15" w:rsidRDefault="0091173A" w14:paraId="4F5E5ACB" w14:textId="77777777">
      <w:pPr>
        <w:numPr>
          <w:ilvl w:val="0"/>
          <w:numId w:val="2"/>
        </w:numPr>
        <w:spacing w:before="105" w:after="105" w:line="360" w:lineRule="auto"/>
      </w:pPr>
      <w:r>
        <w:rPr>
          <w:rFonts w:hAnsi="Georgia" w:eastAsia="Georgia" w:cs="Georgia"/>
          <w:b/>
          <w:color w:val="000000"/>
        </w:rPr>
        <w:t>Predomínio qualitativo</w:t>
      </w:r>
      <w:r>
        <w:rPr>
          <w:rFonts w:hAnsi="Georgia" w:eastAsia="Georgia" w:cs="Georgia"/>
          <w:color w:val="000000"/>
        </w:rPr>
        <w:t>: a produção recente sobre inovação na gestão pública brasileira é predominantemente qualitativa, o que pode facilitar a incorporação futura de diagnósticos organizacionais inspirados no MSV (DESENVOLVIMENTO EM QUESTÃO, 2024).</w:t>
      </w:r>
    </w:p>
    <w:p w:rsidR="00696C15" w:rsidRDefault="0091173A" w14:paraId="5AD651AA" w14:textId="77777777">
      <w:pPr>
        <w:numPr>
          <w:ilvl w:val="0"/>
          <w:numId w:val="2"/>
        </w:numPr>
        <w:spacing w:before="105" w:after="105" w:line="360" w:lineRule="auto"/>
      </w:pPr>
      <w:r>
        <w:rPr>
          <w:rFonts w:hAnsi="Georgia" w:eastAsia="Georgia" w:cs="Georgia"/>
          <w:b/>
          <w:color w:val="000000"/>
        </w:rPr>
        <w:t>Foco em capacidade do Estado</w:t>
      </w:r>
      <w:r>
        <w:rPr>
          <w:rFonts w:hAnsi="Georgia" w:eastAsia="Georgia" w:cs="Georgia"/>
          <w:color w:val="000000"/>
        </w:rPr>
        <w:t>: na política industrial, a ênfase desloca-se dos instrumentos isolados para a capacidade sustentada de coordenação e articulação, um terreno especialmente fértil para aplicações do MSV (REVISTA DO SERVIÇO PÚBLICO, 2025a; REVISTA DO SERVIÇO PÚBLICO, 2025b).</w:t>
      </w:r>
    </w:p>
    <w:p w:rsidR="00696C15" w:rsidRDefault="0091173A" w14:paraId="4E41755A" w14:textId="77777777">
      <w:pPr>
        <w:spacing w:before="315" w:after="105" w:line="360" w:lineRule="auto"/>
        <w:ind w:left="-30"/>
      </w:pPr>
      <w:bookmarkStart w:name="gaps_de_pesquisa" w:id="6"/>
      <w:r>
        <w:rPr>
          <w:rFonts w:hAnsi="Georgia" w:eastAsia="Georgia" w:cs="Georgia"/>
          <w:b/>
          <w:color w:val="000000"/>
          <w:sz w:val="24"/>
        </w:rPr>
        <w:t>Gaps de pesquisa</w:t>
      </w:r>
      <w:bookmarkEnd w:id="6"/>
    </w:p>
    <w:p w:rsidR="00696C15" w:rsidRDefault="0091173A" w14:paraId="63937D71" w14:textId="77777777">
      <w:pPr>
        <w:numPr>
          <w:ilvl w:val="0"/>
          <w:numId w:val="3"/>
        </w:numPr>
        <w:spacing w:before="105" w:after="105" w:line="360" w:lineRule="auto"/>
      </w:pPr>
      <w:r>
        <w:rPr>
          <w:rFonts w:hAnsi="Georgia" w:eastAsia="Georgia" w:cs="Georgia"/>
          <w:color w:val="000000"/>
        </w:rPr>
        <w:t xml:space="preserve">Falta de estudos brasileiros pós-2010 que usem explicitamente o MSV para analisar </w:t>
      </w:r>
      <w:r>
        <w:rPr>
          <w:rFonts w:hAnsi="Georgia" w:eastAsia="Georgia" w:cs="Georgia"/>
          <w:b/>
          <w:color w:val="000000"/>
        </w:rPr>
        <w:t>agências reguladoras</w:t>
      </w:r>
      <w:r>
        <w:rPr>
          <w:rFonts w:hAnsi="Georgia" w:eastAsia="Georgia" w:cs="Georgia"/>
          <w:color w:val="000000"/>
        </w:rPr>
        <w:t xml:space="preserve">, </w:t>
      </w:r>
      <w:r>
        <w:rPr>
          <w:rFonts w:hAnsi="Georgia" w:eastAsia="Georgia" w:cs="Georgia"/>
          <w:b/>
          <w:color w:val="000000"/>
        </w:rPr>
        <w:t>ministérios setoriais</w:t>
      </w:r>
      <w:r>
        <w:rPr>
          <w:rFonts w:hAnsi="Georgia" w:eastAsia="Georgia" w:cs="Georgia"/>
          <w:color w:val="000000"/>
        </w:rPr>
        <w:t xml:space="preserve">, </w:t>
      </w:r>
      <w:r>
        <w:rPr>
          <w:rFonts w:hAnsi="Georgia" w:eastAsia="Georgia" w:cs="Georgia"/>
          <w:b/>
          <w:color w:val="000000"/>
        </w:rPr>
        <w:t>governos subnacionais</w:t>
      </w:r>
      <w:r>
        <w:rPr>
          <w:rFonts w:hAnsi="Georgia" w:eastAsia="Georgia" w:cs="Georgia"/>
          <w:color w:val="000000"/>
        </w:rPr>
        <w:t xml:space="preserve"> ou </w:t>
      </w:r>
      <w:r>
        <w:rPr>
          <w:rFonts w:hAnsi="Georgia" w:eastAsia="Georgia" w:cs="Georgia"/>
          <w:b/>
          <w:color w:val="000000"/>
        </w:rPr>
        <w:t>arranjos de política industrial</w:t>
      </w:r>
      <w:r>
        <w:rPr>
          <w:rFonts w:hAnsi="Georgia" w:eastAsia="Georgia" w:cs="Georgia"/>
          <w:color w:val="000000"/>
        </w:rPr>
        <w:t xml:space="preserve"> (FGV, s.d.; REVISTA DO SERVIÇO PÚBLICO, 2025a).</w:t>
      </w:r>
    </w:p>
    <w:p w:rsidR="00696C15" w:rsidRDefault="0091173A" w14:paraId="6A2DAC92" w14:textId="7DBC6603">
      <w:pPr>
        <w:numPr>
          <w:ilvl w:val="0"/>
          <w:numId w:val="3"/>
        </w:numPr>
        <w:spacing w:before="105" w:after="105" w:line="360" w:lineRule="auto"/>
        <w:rPr/>
      </w:pPr>
      <w:r w:rsidRPr="02F1AE81" w:rsidR="0091173A">
        <w:rPr>
          <w:rFonts w:hAnsi="Georgia" w:eastAsia="Georgia" w:cs="Georgia"/>
          <w:color w:val="000000" w:themeColor="text1" w:themeTint="FF" w:themeShade="FF"/>
          <w:highlight w:val="yellow"/>
        </w:rPr>
        <w:t xml:space="preserve">Quase ausência de pesquisas que conectem </w:t>
      </w:r>
      <w:r w:rsidRPr="02F1AE81" w:rsidR="0091173A">
        <w:rPr>
          <w:rFonts w:hAnsi="Georgia" w:eastAsia="Georgia" w:cs="Georgia"/>
          <w:color w:val="000000" w:themeColor="text1" w:themeTint="FF" w:themeShade="FF"/>
          <w:highlight w:val="yellow"/>
        </w:rPr>
        <w:t>Beer</w:t>
      </w:r>
      <w:r w:rsidRPr="02F1AE81" w:rsidR="0091173A">
        <w:rPr>
          <w:rFonts w:hAnsi="Georgia" w:eastAsia="Georgia" w:cs="Georgia"/>
          <w:color w:val="000000" w:themeColor="text1" w:themeTint="FF" w:themeShade="FF"/>
          <w:highlight w:val="yellow"/>
        </w:rPr>
        <w:t xml:space="preserve">/MSV a </w:t>
      </w:r>
      <w:r w:rsidRPr="02F1AE81" w:rsidR="0091173A">
        <w:rPr>
          <w:rFonts w:hAnsi="Georgia" w:eastAsia="Georgia" w:cs="Georgia"/>
          <w:b w:val="1"/>
          <w:bCs w:val="1"/>
          <w:color w:val="000000" w:themeColor="text1" w:themeTint="FF" w:themeShade="FF"/>
          <w:highlight w:val="yellow"/>
        </w:rPr>
        <w:t>capacidade estatal</w:t>
      </w:r>
      <w:r w:rsidRPr="02F1AE81" w:rsidR="0091173A">
        <w:rPr>
          <w:rFonts w:hAnsi="Georgia" w:eastAsia="Georgia" w:cs="Georgia"/>
          <w:color w:val="000000" w:themeColor="text1" w:themeTint="FF" w:themeShade="FF"/>
          <w:highlight w:val="yellow"/>
        </w:rPr>
        <w:t xml:space="preserve">, </w:t>
      </w:r>
      <w:r w:rsidRPr="02F1AE81" w:rsidR="0091173A">
        <w:rPr>
          <w:rFonts w:hAnsi="Georgia" w:eastAsia="Georgia" w:cs="Georgia"/>
          <w:b w:val="1"/>
          <w:bCs w:val="1"/>
          <w:color w:val="000000" w:themeColor="text1" w:themeTint="FF" w:themeShade="FF"/>
          <w:highlight w:val="yellow"/>
        </w:rPr>
        <w:t>coordenação federativa</w:t>
      </w:r>
      <w:r w:rsidRPr="02F1AE81" w:rsidR="0091173A">
        <w:rPr>
          <w:rFonts w:hAnsi="Georgia" w:eastAsia="Georgia" w:cs="Georgia"/>
          <w:color w:val="000000" w:themeColor="text1" w:themeTint="FF" w:themeShade="FF"/>
          <w:highlight w:val="yellow"/>
        </w:rPr>
        <w:t xml:space="preserve"> e </w:t>
      </w:r>
      <w:r w:rsidRPr="02F1AE81" w:rsidR="0091173A">
        <w:rPr>
          <w:rFonts w:hAnsi="Georgia" w:eastAsia="Georgia" w:cs="Georgia"/>
          <w:b w:val="1"/>
          <w:bCs w:val="1"/>
          <w:color w:val="000000" w:themeColor="text1" w:themeTint="FF" w:themeShade="FF"/>
          <w:highlight w:val="yellow"/>
        </w:rPr>
        <w:t xml:space="preserve">governança </w:t>
      </w:r>
      <w:r w:rsidRPr="02F1AE81" w:rsidR="0091173A">
        <w:rPr>
          <w:rFonts w:hAnsi="Georgia" w:eastAsia="Georgia" w:cs="Georgia"/>
          <w:color w:val="000000" w:themeColor="text1" w:themeTint="FF" w:themeShade="FF"/>
          <w:highlight w:val="yellow"/>
        </w:rPr>
        <w:t>no Brasil</w:t>
      </w:r>
      <w:r w:rsidRPr="02F1AE81" w:rsidR="0091173A">
        <w:rPr>
          <w:rFonts w:hAnsi="Georgia" w:eastAsia="Georgia" w:cs="Georgia"/>
          <w:color w:val="000000" w:themeColor="text1" w:themeTint="FF" w:themeShade="FF"/>
        </w:rPr>
        <w:t xml:space="preserve"> (REVISTA DO SERVIÇO PÚBLICO, 2025a; REVISTA DO SERVIÇO PÚBLICO, 2025b).</w:t>
      </w:r>
    </w:p>
    <w:p w:rsidR="00696C15" w:rsidRDefault="0091173A" w14:paraId="27358511" w14:textId="77777777">
      <w:pPr>
        <w:numPr>
          <w:ilvl w:val="0"/>
          <w:numId w:val="3"/>
        </w:numPr>
        <w:spacing w:before="105" w:after="105" w:line="360" w:lineRule="auto"/>
      </w:pPr>
      <w:r>
        <w:rPr>
          <w:rFonts w:hAnsi="Georgia" w:eastAsia="Georgia" w:cs="Georgia"/>
          <w:color w:val="000000"/>
        </w:rPr>
        <w:t>Escassez de aplicações empíricas comparativas entre órgãos públicos, o que dificulta saber se problemas de inviabilidade são específicos de uma organização ou recorrentes no Estado brasileiro (BRASIL, 2008; DESENVOLVIMENTO EM QUESTÃO, 2024).</w:t>
      </w:r>
    </w:p>
    <w:p w:rsidR="00696C15" w:rsidRDefault="0091173A" w14:paraId="518CD4E1" w14:textId="77777777">
      <w:pPr>
        <w:numPr>
          <w:ilvl w:val="0"/>
          <w:numId w:val="3"/>
        </w:numPr>
        <w:spacing w:before="105" w:after="105" w:line="360" w:lineRule="auto"/>
      </w:pPr>
      <w:r>
        <w:rPr>
          <w:rFonts w:hAnsi="Georgia" w:eastAsia="Georgia" w:cs="Georgia"/>
          <w:color w:val="000000"/>
        </w:rPr>
        <w:t>Pouca integração entre tradição cibernética e debates recentes sobre transformação digital, dados em tempo real e monitoramento de políticas públicas, apesar da afinidade conceitual entre esses temas (DESENVOLVIMENTO EM QUESTÃO, 2024; REVISTA DO SERVIÇO PÚBLICO, 2025a).</w:t>
      </w:r>
    </w:p>
    <w:p w:rsidR="00696C15" w:rsidRDefault="0091173A" w14:paraId="01725FC9" w14:textId="77777777">
      <w:pPr>
        <w:spacing w:before="315" w:after="105" w:line="360" w:lineRule="auto"/>
        <w:ind w:left="-30"/>
      </w:pPr>
      <w:bookmarkStart w:name="agenda_sugerida" w:id="7"/>
      <w:r>
        <w:rPr>
          <w:rFonts w:hAnsi="Georgia" w:eastAsia="Georgia" w:cs="Georgia"/>
          <w:b/>
          <w:color w:val="000000"/>
          <w:sz w:val="24"/>
        </w:rPr>
        <w:t>Agenda sugerida</w:t>
      </w:r>
      <w:bookmarkEnd w:id="7"/>
    </w:p>
    <w:p w:rsidR="00696C15" w:rsidRDefault="0091173A" w14:paraId="193789FA" w14:textId="77777777">
      <w:pPr>
        <w:spacing w:after="210" w:line="360" w:lineRule="auto"/>
      </w:pPr>
      <w:r w:rsidRPr="02F1AE81" w:rsidR="0091173A">
        <w:rPr>
          <w:rFonts w:hAnsi="Georgia" w:eastAsia="Georgia" w:cs="Georgia"/>
          <w:color w:val="000000" w:themeColor="text1" w:themeTint="FF" w:themeShade="FF"/>
          <w:highlight w:val="yellow"/>
        </w:rPr>
        <w:t xml:space="preserve">Uma agenda promissora seria aplicar o MSV a pelo menos quatro frentes: desenho institucional de políticas industriais; coordenação federativa em políticas sociais; arquitetura decisória de agências reguladoras; e sistemas de controle e avaliação em tribunais de contas e órgãos </w:t>
      </w:r>
      <w:commentRangeStart w:id="1645367964"/>
      <w:r w:rsidRPr="02F1AE81" w:rsidR="0091173A">
        <w:rPr>
          <w:rFonts w:hAnsi="Georgia" w:eastAsia="Georgia" w:cs="Georgia"/>
          <w:color w:val="000000" w:themeColor="text1" w:themeTint="FF" w:themeShade="FF"/>
          <w:highlight w:val="yellow"/>
        </w:rPr>
        <w:t>centrais</w:t>
      </w:r>
      <w:commentRangeEnd w:id="1645367964"/>
      <w:r>
        <w:rPr>
          <w:rStyle w:val="CommentReference"/>
        </w:rPr>
        <w:commentReference w:id="1645367964"/>
      </w:r>
      <w:r w:rsidRPr="02F1AE81" w:rsidR="0091173A">
        <w:rPr>
          <w:rFonts w:hAnsi="Georgia" w:eastAsia="Georgia" w:cs="Georgia"/>
          <w:color w:val="000000" w:themeColor="text1" w:themeTint="FF" w:themeShade="FF"/>
        </w:rPr>
        <w:t xml:space="preserve"> (BRASIL, 2008; REVISTA DO SERVIÇO PÚBLICO, 2025a; REVISTA DO SERVIÇO PÚBLICO, 2025b). Em todos esses casos, o ganho analítico esperado está em mapear funções de coordenação, inteligência, controle e adaptação, além de verific</w:t>
      </w:r>
      <w:r w:rsidRPr="02F1AE81" w:rsidR="0091173A">
        <w:rPr>
          <w:rFonts w:hAnsi="Georgia" w:eastAsia="Georgia" w:cs="Georgia"/>
          <w:color w:val="000000" w:themeColor="text1" w:themeTint="FF" w:themeShade="FF"/>
        </w:rPr>
        <w:t>ar se a organização possui variedade suficiente para lidar com seu ambiente (BRASIL, 2008; REVISTA DO SERVIÇO PÚBLICO, 2025a; REVISTA DO SERVIÇO PÚBLICO, 2025b).</w:t>
      </w:r>
    </w:p>
    <w:p w:rsidR="00696C15" w:rsidRDefault="0091173A" w14:paraId="1A8A572A" w14:textId="77777777">
      <w:pPr>
        <w:spacing w:before="315" w:after="105" w:line="360" w:lineRule="auto"/>
        <w:ind w:left="-30"/>
      </w:pPr>
      <w:bookmarkStart w:name="referências" w:id="8"/>
      <w:r>
        <w:rPr>
          <w:rFonts w:hAnsi="Georgia" w:eastAsia="Georgia" w:cs="Georgia"/>
          <w:b/>
          <w:color w:val="000000"/>
          <w:sz w:val="24"/>
        </w:rPr>
        <w:t>Referências</w:t>
      </w:r>
      <w:bookmarkEnd w:id="8"/>
    </w:p>
    <w:p w:rsidR="00696C15" w:rsidRDefault="0091173A" w14:paraId="4F7983FE" w14:textId="77777777">
      <w:pPr>
        <w:spacing w:after="210" w:line="360" w:lineRule="auto"/>
      </w:pPr>
      <w:r>
        <w:rPr>
          <w:rFonts w:hAnsi="Georgia" w:eastAsia="Georgia" w:cs="Georgia"/>
          <w:color w:val="000000"/>
        </w:rPr>
        <w:t xml:space="preserve">BRASIL, Marconi Canuto. </w:t>
      </w:r>
      <w:r>
        <w:rPr>
          <w:rFonts w:hAnsi="Georgia" w:eastAsia="Georgia" w:cs="Georgia"/>
          <w:i/>
          <w:color w:val="000000"/>
        </w:rPr>
        <w:t>Análise da viabilidade do sistema de auditorias de obras públicas do Tribunal de Contas do Estado do Rio de Janeiro à luz do Modelo de Sistema Viável</w:t>
      </w:r>
      <w:r>
        <w:rPr>
          <w:rFonts w:hAnsi="Georgia" w:eastAsia="Georgia" w:cs="Georgia"/>
          <w:color w:val="000000"/>
        </w:rPr>
        <w:t xml:space="preserve">. 2008. Dissertação (Mestrado em Administração Pública) – Fundação Getulio Vargas, Escola Brasileira de Administração Pública e de Empresas, Rio de Janeiro, 2008. Disponível em: </w:t>
      </w:r>
      <w:hyperlink r:id="rId5">
        <w:r>
          <w:rPr>
            <w:rFonts w:ascii="helvetica neue" w:hAnsi="helvetica neue" w:eastAsia="helvetica neue" w:cs="helvetica neue"/>
            <w:u w:val="single"/>
          </w:rPr>
          <w:t>https://repositorio.fgv.br/server/api/core/bitstreams/2260ae6c-15cb-4cff-88d8-176caa874365/content</w:t>
        </w:r>
      </w:hyperlink>
      <w:r>
        <w:rPr>
          <w:rFonts w:hAnsi="Georgia" w:eastAsia="Georgia" w:cs="Georgia"/>
          <w:color w:val="000000"/>
        </w:rPr>
        <w:t>. Acesso em: 28 abr. 2026.</w:t>
      </w:r>
    </w:p>
    <w:p w:rsidR="00696C15" w:rsidRDefault="0091173A" w14:paraId="18913BD5" w14:textId="77777777">
      <w:pPr>
        <w:spacing w:after="210" w:line="360" w:lineRule="auto"/>
      </w:pPr>
      <w:r>
        <w:rPr>
          <w:rFonts w:hAnsi="Georgia" w:eastAsia="Georgia" w:cs="Georgia"/>
          <w:color w:val="000000"/>
        </w:rPr>
        <w:t xml:space="preserve">DESENVOLVIMENTO EM QUESTÃO. </w:t>
      </w:r>
      <w:r>
        <w:rPr>
          <w:rFonts w:hAnsi="Georgia" w:eastAsia="Georgia" w:cs="Georgia"/>
          <w:i/>
          <w:color w:val="000000"/>
        </w:rPr>
        <w:t>Inovação na gestão pública brasileira: análise da produção científica</w:t>
      </w:r>
      <w:r>
        <w:rPr>
          <w:rFonts w:hAnsi="Georgia" w:eastAsia="Georgia" w:cs="Georgia"/>
          <w:color w:val="000000"/>
        </w:rPr>
        <w:t xml:space="preserve">. Ijuí: Editora Unijuí, 2024. Disponível em: </w:t>
      </w:r>
      <w:hyperlink r:id="rId6">
        <w:r>
          <w:rPr>
            <w:rFonts w:ascii="helvetica neue" w:hAnsi="helvetica neue" w:eastAsia="helvetica neue" w:cs="helvetica neue"/>
            <w:u w:val="single"/>
          </w:rPr>
          <w:t>https://www.revistas.unijui.edu.br/index.php/desenvolvimentoemquestao/article/view/14715</w:t>
        </w:r>
      </w:hyperlink>
      <w:r>
        <w:rPr>
          <w:rFonts w:hAnsi="Georgia" w:eastAsia="Georgia" w:cs="Georgia"/>
          <w:color w:val="000000"/>
        </w:rPr>
        <w:t>. Acesso em: 28 abr. 2026.</w:t>
      </w:r>
    </w:p>
    <w:p w:rsidR="00696C15" w:rsidRDefault="0091173A" w14:paraId="1B955995" w14:textId="77777777">
      <w:pPr>
        <w:spacing w:after="210" w:line="360" w:lineRule="auto"/>
      </w:pPr>
      <w:r>
        <w:rPr>
          <w:rFonts w:hAnsi="Georgia" w:eastAsia="Georgia" w:cs="Georgia"/>
          <w:color w:val="000000"/>
        </w:rPr>
        <w:t xml:space="preserve">FGV. </w:t>
      </w:r>
      <w:r>
        <w:rPr>
          <w:rFonts w:hAnsi="Georgia" w:eastAsia="Georgia" w:cs="Georgia"/>
          <w:i/>
          <w:color w:val="000000"/>
        </w:rPr>
        <w:t>Fundação Getulio Vargas – Repositório Institucional Acadêmico</w:t>
      </w:r>
      <w:r>
        <w:rPr>
          <w:rFonts w:hAnsi="Georgia" w:eastAsia="Georgia" w:cs="Georgia"/>
          <w:color w:val="000000"/>
        </w:rPr>
        <w:t xml:space="preserve">. Rio de Janeiro: FGV, s.d. Disponível em: </w:t>
      </w:r>
      <w:hyperlink r:id="rId7">
        <w:r>
          <w:rPr>
            <w:rFonts w:ascii="helvetica neue" w:hAnsi="helvetica neue" w:eastAsia="helvetica neue" w:cs="helvetica neue"/>
            <w:u w:val="single"/>
          </w:rPr>
          <w:t>https://repositorio.fgv.br/bitstreams/2260ae6c-15cb-4cff-88d8-176caa874365/download</w:t>
        </w:r>
      </w:hyperlink>
      <w:r>
        <w:rPr>
          <w:rFonts w:hAnsi="Georgia" w:eastAsia="Georgia" w:cs="Georgia"/>
          <w:color w:val="000000"/>
        </w:rPr>
        <w:t>. Acesso em: 28 abr. 2026.</w:t>
      </w:r>
    </w:p>
    <w:p w:rsidR="00696C15" w:rsidRDefault="0091173A" w14:paraId="0D026ADE" w14:textId="77777777">
      <w:pPr>
        <w:spacing w:after="210" w:line="360" w:lineRule="auto"/>
      </w:pPr>
      <w:r>
        <w:rPr>
          <w:rFonts w:hAnsi="Georgia" w:eastAsia="Georgia" w:cs="Georgia"/>
          <w:color w:val="000000"/>
        </w:rPr>
        <w:t xml:space="preserve">REVISTA DO SERVIÇO PÚBLICO. </w:t>
      </w:r>
      <w:r>
        <w:rPr>
          <w:rFonts w:hAnsi="Georgia" w:eastAsia="Georgia" w:cs="Georgia"/>
          <w:i/>
          <w:color w:val="000000"/>
        </w:rPr>
        <w:t>Capacidades estatais e desafios da política industrial brasileira</w:t>
      </w:r>
      <w:r>
        <w:rPr>
          <w:rFonts w:hAnsi="Georgia" w:eastAsia="Georgia" w:cs="Georgia"/>
          <w:color w:val="000000"/>
        </w:rPr>
        <w:t xml:space="preserve">. Brasília: ENAP, 2025a. Disponível em: </w:t>
      </w:r>
      <w:hyperlink r:id="rId8">
        <w:r>
          <w:rPr>
            <w:rFonts w:ascii="helvetica neue" w:hAnsi="helvetica neue" w:eastAsia="helvetica neue" w:cs="helvetica neue"/>
            <w:u w:val="single"/>
          </w:rPr>
          <w:t>https://repositorio.enap.gov.br/bitstream/1/8915/1/11466-Texto do Artigo-35655-1-10-20250630.pdf</w:t>
        </w:r>
      </w:hyperlink>
      <w:r>
        <w:rPr>
          <w:rFonts w:hAnsi="Georgia" w:eastAsia="Georgia" w:cs="Georgia"/>
          <w:color w:val="000000"/>
        </w:rPr>
        <w:t>. Acesso em: 28 abr. 2026.</w:t>
      </w:r>
    </w:p>
    <w:p w:rsidR="00696C15" w:rsidRDefault="0091173A" w14:paraId="67C503E3" w14:textId="77777777">
      <w:pPr>
        <w:spacing w:after="210" w:line="360" w:lineRule="auto"/>
      </w:pPr>
      <w:r>
        <w:rPr>
          <w:rFonts w:hAnsi="Georgia" w:eastAsia="Georgia" w:cs="Georgia"/>
          <w:color w:val="000000"/>
        </w:rPr>
        <w:t xml:space="preserve">REVISTA DO SERVIÇO PÚBLICO. </w:t>
      </w:r>
      <w:r>
        <w:rPr>
          <w:rFonts w:hAnsi="Georgia" w:eastAsia="Georgia" w:cs="Georgia"/>
          <w:i/>
          <w:color w:val="000000"/>
        </w:rPr>
        <w:t>Capacidades estatais e desafios da política industrial brasileira</w:t>
      </w:r>
      <w:r>
        <w:rPr>
          <w:rFonts w:hAnsi="Georgia" w:eastAsia="Georgia" w:cs="Georgia"/>
          <w:color w:val="000000"/>
        </w:rPr>
        <w:t xml:space="preserve">. Brasília: ENAP, 2025b. Disponível em: </w:t>
      </w:r>
      <w:hyperlink r:id="rId9">
        <w:r>
          <w:rPr>
            <w:rFonts w:ascii="helvetica neue" w:hAnsi="helvetica neue" w:eastAsia="helvetica neue" w:cs="helvetica neue"/>
            <w:u w:val="single"/>
          </w:rPr>
          <w:t>https://repositorio.enap.gov.br/jspui/bitstream/1/8916/1/RSP - v. 76, n. a, edição especial.pdf</w:t>
        </w:r>
      </w:hyperlink>
      <w:r>
        <w:rPr>
          <w:rFonts w:hAnsi="Georgia" w:eastAsia="Georgia" w:cs="Georgia"/>
          <w:color w:val="000000"/>
        </w:rPr>
        <w:t>. Acesso em: 28 abr. 2026.</w:t>
      </w:r>
    </w:p>
    <w:p w:rsidR="00696C15" w:rsidRDefault="0091173A" w14:paraId="17587292" w14:textId="77777777">
      <w:pPr>
        <w:spacing w:after="210" w:line="360" w:lineRule="auto"/>
      </w:pPr>
      <w:r>
        <w:rPr>
          <w:rFonts w:hAnsi="Georgia" w:eastAsia="Georgia" w:cs="Georgia"/>
          <w:color w:val="000000"/>
        </w:rPr>
        <w:t xml:space="preserve">SCIELO. </w:t>
      </w:r>
      <w:r>
        <w:rPr>
          <w:rFonts w:hAnsi="Georgia" w:eastAsia="Georgia" w:cs="Georgia"/>
          <w:i/>
          <w:color w:val="000000"/>
        </w:rPr>
        <w:t>Resultados e indexação em base SciELO relacionados a gestão pública e administração pública</w:t>
      </w:r>
      <w:r>
        <w:rPr>
          <w:rFonts w:hAnsi="Georgia" w:eastAsia="Georgia" w:cs="Georgia"/>
          <w:color w:val="000000"/>
        </w:rPr>
        <w:t xml:space="preserve">. São Paulo: SciELO, 2025. Disponível em: </w:t>
      </w:r>
      <w:hyperlink r:id="rId10">
        <w:r>
          <w:rPr>
            <w:rFonts w:ascii="helvetica neue" w:hAnsi="helvetica neue" w:eastAsia="helvetica neue" w:cs="helvetica neue"/>
            <w:u w:val="single"/>
          </w:rPr>
          <w:t>https://www.scielo.br/</w:t>
        </w:r>
      </w:hyperlink>
      <w:r>
        <w:rPr>
          <w:rFonts w:hAnsi="Georgia" w:eastAsia="Georgia" w:cs="Georgia"/>
          <w:color w:val="000000"/>
        </w:rPr>
        <w:t>. Acesso em: 28 abr. 2026.</w:t>
      </w:r>
    </w:p>
    <w:sectPr w:rsidR="00696C15">
      <w:pgSz w:w="12240" w:h="15840" w:orient="portrait"/>
      <w:pgMar w:top="1365" w:right="1365" w:bottom="1365" w:left="1365"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F" w:author="Claucia Piccoli Faganello" w:date="2026-05-13T10:26:34" w:id="1645367964">
    <w:p xmlns:w14="http://schemas.microsoft.com/office/word/2010/wordml" xmlns:w="http://schemas.openxmlformats.org/wordprocessingml/2006/main" w:rsidR="10807EE8" w:rsidRDefault="2D13BCBA" w14:paraId="43ECA685" w14:textId="136B7E60">
      <w:pPr>
        <w:pStyle w:val="CommentText"/>
      </w:pPr>
      <w:r>
        <w:rPr>
          <w:rStyle w:val="CommentReference"/>
        </w:rPr>
        <w:annotationRef/>
      </w:r>
      <w:r w:rsidRPr="47F0EA44" w:rsidR="108965E7">
        <w:t>Longo prazo</w:t>
      </w:r>
    </w:p>
  </w:comment>
</w:comments>
</file>

<file path=word/commentsExtended.xml><?xml version="1.0" encoding="utf-8"?>
<w15:commentsEx xmlns:mc="http://schemas.openxmlformats.org/markup-compatibility/2006" xmlns:w15="http://schemas.microsoft.com/office/word/2012/wordml" mc:Ignorable="w15">
  <w15:commentEx w15:done="0" w15:paraId="43ECA68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BD4636A" w16cex:dateUtc="2026-05-13T13:26:34.258Z"/>
</w16cex:commentsExtensible>
</file>

<file path=word/commentsIds.xml><?xml version="1.0" encoding="utf-8"?>
<w16cid:commentsIds xmlns:mc="http://schemas.openxmlformats.org/markup-compatibility/2006" xmlns:w16cid="http://schemas.microsoft.com/office/word/2016/wordml/cid" mc:Ignorable="w16cid">
  <w16cid:commentId w16cid:paraId="43ECA685" w16cid:durableId="5BD463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24904"/>
    <w:multiLevelType w:val="hybridMultilevel"/>
    <w:tmpl w:val="FFFFFFFF"/>
    <w:lvl w:ilvl="0" w:tplc="C2A4A844">
      <w:start w:val="1"/>
      <w:numFmt w:val="bullet"/>
      <w:lvlText w:val=""/>
      <w:lvlJc w:val="left"/>
      <w:pPr>
        <w:tabs>
          <w:tab w:val="num" w:pos="900"/>
        </w:tabs>
        <w:ind w:left="540" w:hanging="360"/>
      </w:pPr>
      <w:rPr>
        <w:rFonts w:hint="default" w:ascii="Symbol" w:hAnsi="Symbol"/>
      </w:rPr>
    </w:lvl>
    <w:lvl w:ilvl="1" w:tplc="AAA04E78">
      <w:numFmt w:val="decimal"/>
      <w:lvlText w:val=""/>
      <w:lvlJc w:val="left"/>
    </w:lvl>
    <w:lvl w:ilvl="2" w:tplc="C8421ECE">
      <w:numFmt w:val="decimal"/>
      <w:lvlText w:val=""/>
      <w:lvlJc w:val="left"/>
    </w:lvl>
    <w:lvl w:ilvl="3" w:tplc="401A9C42">
      <w:numFmt w:val="decimal"/>
      <w:lvlText w:val=""/>
      <w:lvlJc w:val="left"/>
    </w:lvl>
    <w:lvl w:ilvl="4" w:tplc="F984DF54">
      <w:numFmt w:val="decimal"/>
      <w:lvlText w:val=""/>
      <w:lvlJc w:val="left"/>
    </w:lvl>
    <w:lvl w:ilvl="5" w:tplc="53DEFD5C">
      <w:numFmt w:val="decimal"/>
      <w:lvlText w:val=""/>
      <w:lvlJc w:val="left"/>
    </w:lvl>
    <w:lvl w:ilvl="6" w:tplc="7A8E0D92">
      <w:numFmt w:val="decimal"/>
      <w:lvlText w:val=""/>
      <w:lvlJc w:val="left"/>
    </w:lvl>
    <w:lvl w:ilvl="7" w:tplc="2012986E">
      <w:numFmt w:val="decimal"/>
      <w:lvlText w:val=""/>
      <w:lvlJc w:val="left"/>
    </w:lvl>
    <w:lvl w:ilvl="8" w:tplc="4800ABD2">
      <w:numFmt w:val="decimal"/>
      <w:lvlText w:val=""/>
      <w:lvlJc w:val="left"/>
    </w:lvl>
  </w:abstractNum>
  <w:abstractNum w:abstractNumId="1" w15:restartNumberingAfterBreak="0">
    <w:nsid w:val="62DB32AB"/>
    <w:multiLevelType w:val="hybridMultilevel"/>
    <w:tmpl w:val="FFFFFFFF"/>
    <w:lvl w:ilvl="0" w:tplc="E9F03DC2">
      <w:start w:val="1"/>
      <w:numFmt w:val="bullet"/>
      <w:lvlText w:val=""/>
      <w:lvlJc w:val="left"/>
      <w:pPr>
        <w:tabs>
          <w:tab w:val="num" w:pos="900"/>
        </w:tabs>
        <w:ind w:left="540" w:hanging="360"/>
      </w:pPr>
      <w:rPr>
        <w:rFonts w:hint="default" w:ascii="Symbol" w:hAnsi="Symbol"/>
      </w:rPr>
    </w:lvl>
    <w:lvl w:ilvl="1" w:tplc="B6403A1E">
      <w:numFmt w:val="decimal"/>
      <w:lvlText w:val=""/>
      <w:lvlJc w:val="left"/>
    </w:lvl>
    <w:lvl w:ilvl="2" w:tplc="F46C549C">
      <w:numFmt w:val="decimal"/>
      <w:lvlText w:val=""/>
      <w:lvlJc w:val="left"/>
    </w:lvl>
    <w:lvl w:ilvl="3" w:tplc="662ABBAA">
      <w:numFmt w:val="decimal"/>
      <w:lvlText w:val=""/>
      <w:lvlJc w:val="left"/>
    </w:lvl>
    <w:lvl w:ilvl="4" w:tplc="FF9EF518">
      <w:numFmt w:val="decimal"/>
      <w:lvlText w:val=""/>
      <w:lvlJc w:val="left"/>
    </w:lvl>
    <w:lvl w:ilvl="5" w:tplc="63565B80">
      <w:numFmt w:val="decimal"/>
      <w:lvlText w:val=""/>
      <w:lvlJc w:val="left"/>
    </w:lvl>
    <w:lvl w:ilvl="6" w:tplc="A7AE36C6">
      <w:numFmt w:val="decimal"/>
      <w:lvlText w:val=""/>
      <w:lvlJc w:val="left"/>
    </w:lvl>
    <w:lvl w:ilvl="7" w:tplc="BA2CD422">
      <w:numFmt w:val="decimal"/>
      <w:lvlText w:val=""/>
      <w:lvlJc w:val="left"/>
    </w:lvl>
    <w:lvl w:ilvl="8" w:tplc="A0B6E2A2">
      <w:numFmt w:val="decimal"/>
      <w:lvlText w:val=""/>
      <w:lvlJc w:val="left"/>
    </w:lvl>
  </w:abstractNum>
  <w:abstractNum w:abstractNumId="2" w15:restartNumberingAfterBreak="0">
    <w:nsid w:val="7D056E14"/>
    <w:multiLevelType w:val="hybridMultilevel"/>
    <w:tmpl w:val="FFFFFFFF"/>
    <w:lvl w:ilvl="0" w:tplc="844CD210">
      <w:start w:val="1"/>
      <w:numFmt w:val="bullet"/>
      <w:lvlText w:val=""/>
      <w:lvlJc w:val="left"/>
      <w:pPr>
        <w:tabs>
          <w:tab w:val="num" w:pos="900"/>
        </w:tabs>
        <w:ind w:left="540" w:hanging="360"/>
      </w:pPr>
      <w:rPr>
        <w:rFonts w:hint="default" w:ascii="Symbol" w:hAnsi="Symbol"/>
      </w:rPr>
    </w:lvl>
    <w:lvl w:ilvl="1" w:tplc="36B66BB4">
      <w:numFmt w:val="decimal"/>
      <w:lvlText w:val=""/>
      <w:lvlJc w:val="left"/>
    </w:lvl>
    <w:lvl w:ilvl="2" w:tplc="6792E054">
      <w:numFmt w:val="decimal"/>
      <w:lvlText w:val=""/>
      <w:lvlJc w:val="left"/>
    </w:lvl>
    <w:lvl w:ilvl="3" w:tplc="7EBC5B7E">
      <w:numFmt w:val="decimal"/>
      <w:lvlText w:val=""/>
      <w:lvlJc w:val="left"/>
    </w:lvl>
    <w:lvl w:ilvl="4" w:tplc="58EA63C4">
      <w:numFmt w:val="decimal"/>
      <w:lvlText w:val=""/>
      <w:lvlJc w:val="left"/>
    </w:lvl>
    <w:lvl w:ilvl="5" w:tplc="AC001448">
      <w:numFmt w:val="decimal"/>
      <w:lvlText w:val=""/>
      <w:lvlJc w:val="left"/>
    </w:lvl>
    <w:lvl w:ilvl="6" w:tplc="6430F9C8">
      <w:numFmt w:val="decimal"/>
      <w:lvlText w:val=""/>
      <w:lvlJc w:val="left"/>
    </w:lvl>
    <w:lvl w:ilvl="7" w:tplc="FF68F8B0">
      <w:numFmt w:val="decimal"/>
      <w:lvlText w:val=""/>
      <w:lvlJc w:val="left"/>
    </w:lvl>
    <w:lvl w:ilvl="8" w:tplc="334676B8">
      <w:numFmt w:val="decimal"/>
      <w:lvlText w:val=""/>
      <w:lvlJc w:val="left"/>
    </w:lvl>
  </w:abstractNum>
  <w:num w:numId="1" w16cid:durableId="95828244">
    <w:abstractNumId w:val="0"/>
  </w:num>
  <w:num w:numId="2" w16cid:durableId="532615475">
    <w:abstractNumId w:val="1"/>
  </w:num>
  <w:num w:numId="3" w16cid:durableId="475492629">
    <w:abstractNumId w:val="2"/>
  </w:num>
</w:numbering>
</file>

<file path=word/people.xml><?xml version="1.0" encoding="utf-8"?>
<w15:people xmlns:mc="http://schemas.openxmlformats.org/markup-compatibility/2006" xmlns:w15="http://schemas.microsoft.com/office/word/2012/wordml" mc:Ignorable="w15">
  <w15:person w15:author="Claucia Piccoli Faganello">
    <w15:presenceInfo w15:providerId="AD" w15:userId="S::b01465649018@ipea.gov.br::1297cbc7-4bed-43ae-9a96-30b7886a2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15"/>
    <w:rsid w:val="00696C15"/>
    <w:rsid w:val="00721F9D"/>
    <w:rsid w:val="0091173A"/>
    <w:rsid w:val="02F1AE81"/>
    <w:rsid w:val="0804EB30"/>
    <w:rsid w:val="7D763D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1ED9CD"/>
  <w15:docId w15:val="{F6C3AE90-5E0B-4B56-875A-062DBD6A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hAnsiTheme="minorHAnsi" w:eastAsiaTheme="minorHAnsi" w:cstheme="minorBidi"/>
        <w:sz w:val="21"/>
        <w:szCs w:val="22"/>
        <w:lang w:val="pt-PT"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erbatimChar" w:customStyle="1">
    <w:name w:val="Verbatim Char"/>
    <w:rPr>
      <w:rFonts w:ascii="Consolas" w:hAnsi="Consolas"/>
      <w:sz w:val="22"/>
    </w:rPr>
  </w:style>
  <w:style w:type="table" w:styleId="TableGrid">
    <w:name w:val="Table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repositorio.enap.gov.br/bitstream/1/8915/1/11466-Texto%20do%20Artigo-35655-1-10-20250630.pdf" TargetMode="External" Id="rId8" /><Relationship Type="http://schemas.openxmlformats.org/officeDocument/2006/relationships/settings" Target="settings.xml" Id="rId3" /><Relationship Type="http://schemas.openxmlformats.org/officeDocument/2006/relationships/hyperlink" Target="https://repositorio.fgv.br/bitstreams/2260ae6c-15cb-4cff-88d8-176caa874365/download"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revistas.unijui.edu.br/index.php/desenvolvimentoemquestao/article/view/14715" TargetMode="External" Id="rId6" /><Relationship Type="http://schemas.openxmlformats.org/officeDocument/2006/relationships/fontTable" Target="fontTable.xml" Id="rId11" /><Relationship Type="http://schemas.openxmlformats.org/officeDocument/2006/relationships/hyperlink" Target="https://repositorio.fgv.br/server/api/core/bitstreams/2260ae6c-15cb-4cff-88d8-176caa874365/content" TargetMode="External" Id="rId5" /><Relationship Type="http://schemas.openxmlformats.org/officeDocument/2006/relationships/hyperlink" Target="https://www.scielo.br/" TargetMode="External" Id="rId10" /><Relationship Type="http://schemas.openxmlformats.org/officeDocument/2006/relationships/webSettings" Target="webSettings.xml" Id="rId4" /><Relationship Type="http://schemas.openxmlformats.org/officeDocument/2006/relationships/hyperlink" Target="https://repositorio.enap.gov.br/jspui/bitstream/1/8916/1/RSP%20-%20v.%2076,%20n.%20a,%20edi%C3%A7%C3%A3o%20especial.pdf" TargetMode="External" Id="rId9" /><Relationship Type="http://schemas.openxmlformats.org/officeDocument/2006/relationships/comments" Target="comments.xml" Id="R5cd7b9d5398143c5" /><Relationship Type="http://schemas.microsoft.com/office/2016/09/relationships/commentsIds" Target="commentsIds.xml" Id="R89eea57878a54f8d" /><Relationship Type="http://schemas.microsoft.com/office/2011/relationships/commentsExtended" Target="commentsExtended.xml" Id="R1779bd8adcb74567" /><Relationship Type="http://schemas.microsoft.com/office/2018/08/relationships/commentsExtensible" Target="commentsExtensible.xml" Id="Rc0891c140d464ae5" /><Relationship Type="http://schemas.microsoft.com/office/2011/relationships/people" Target="people.xml" Id="Rb06ce87073ee41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html-to-docx</dc:creator>
  <keywords>html-to-docx</keywords>
  <dc:description/>
  <lastModifiedBy>Claucia Piccoli Faganello</lastModifiedBy>
  <revision>2</revision>
  <dcterms:created xsi:type="dcterms:W3CDTF">2026-05-13T13:10:00.0000000Z</dcterms:created>
  <dcterms:modified xsi:type="dcterms:W3CDTF">2026-05-13T13:27:10.6986456Z</dcterms:modified>
</coreProperties>
</file>