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i/>
          <w:iCs/>
          <w:sz w:val="26"/>
          <w:szCs w:val="26"/>
        </w:rPr>
        <w:t xml:space="preserve">SELEÇÃO DE CANDIDATOS POR MEIO DE CHAMADA ESPECIALIZADA</w:t>
      </w:r>
    </w:p>
    <w:p>
      <w:pPr>
        <w:pStyle w:val="Heading1"/>
        <w:spacing w:after="160" w:before="320"/>
      </w:pPr>
      <w:r>
        <w:rPr>
          <w:rFonts w:ascii="Arial" w:cs="Arial" w:eastAsia="Arial" w:hAnsi="Arial"/>
          <w:b/>
          <w:bCs/>
          <w:i/>
          <w:iCs/>
          <w:sz w:val="24"/>
          <w:szCs w:val="24"/>
        </w:rPr>
        <w:t xml:space="preserve">1. TÍTULO DO PROJETO/PESQUISA INDICADO NO IPEAPROJETOS</w:t>
      </w:r>
    </w:p>
    <w:p>
      <w:pPr>
        <w:spacing w:after="120" w:before="60" w:line="300"/>
        <w:jc w:val="both"/>
      </w:pPr>
      <w:r>
        <w:rPr>
          <w:rFonts w:ascii="Arial" w:cs="Arial" w:eastAsia="Arial" w:hAnsi="Arial"/>
          <w:b w:val="false"/>
          <w:bCs w:val="false"/>
          <w:i w:val="false"/>
          <w:iCs w:val="false"/>
          <w:sz w:val="22"/>
          <w:szCs w:val="22"/>
        </w:rPr>
        <w:t xml:space="preserve">Novas soluções para o governo digital: Soberania Digital, Inteligência Artificial e Infraestruturas Públicas Digitais</w:t>
      </w:r>
    </w:p>
    <w:p>
      <w:pPr>
        <w:pStyle w:val="Heading1"/>
        <w:spacing w:after="160" w:before="320"/>
      </w:pPr>
      <w:r>
        <w:rPr>
          <w:rFonts w:ascii="Arial" w:cs="Arial" w:eastAsia="Arial" w:hAnsi="Arial"/>
          <w:b/>
          <w:bCs/>
          <w:i/>
          <w:iCs/>
          <w:sz w:val="24"/>
          <w:szCs w:val="24"/>
        </w:rPr>
        <w:t xml:space="preserve">2. NOME DO COORDENADOR DA PESQUISA APLICADA E A UNIDADE RESPONSÁVEL</w:t>
      </w:r>
    </w:p>
    <w:p>
      <w:pPr>
        <w:spacing w:after="120" w:before="60" w:line="300"/>
        <w:jc w:val="both"/>
      </w:pPr>
      <w:r>
        <w:rPr>
          <w:rFonts w:ascii="Arial" w:cs="Arial" w:eastAsia="Arial" w:hAnsi="Arial"/>
          <w:b w:val="false"/>
          <w:bCs w:val="false"/>
          <w:i w:val="false"/>
          <w:iCs w:val="false"/>
          <w:sz w:val="22"/>
          <w:szCs w:val="22"/>
        </w:rPr>
        <w:t xml:space="preserve">Coordenadora da pesquisa aplicada: Denise do Carmo Direito</w:t>
      </w:r>
    </w:p>
    <w:p>
      <w:pPr>
        <w:spacing w:after="120" w:before="60" w:line="300"/>
        <w:jc w:val="both"/>
      </w:pPr>
      <w:r>
        <w:rPr>
          <w:rFonts w:ascii="Arial" w:cs="Arial" w:eastAsia="Arial" w:hAnsi="Arial"/>
          <w:b w:val="false"/>
          <w:bCs w:val="false"/>
          <w:i w:val="false"/>
          <w:iCs w:val="false"/>
          <w:sz w:val="22"/>
          <w:szCs w:val="22"/>
        </w:rPr>
        <w:t xml:space="preserve">Unidade responsável: COGIT — Coordenação de Estudos sobre a Governança e Implementação da Transformação Digital, vinculada à DIEST — Diretoria de Estudos e Políticas do Estado, das Instituições e da Democracia.</w:t>
      </w:r>
    </w:p>
    <w:p>
      <w:pPr>
        <w:pStyle w:val="Heading1"/>
        <w:spacing w:after="160" w:before="320"/>
      </w:pPr>
      <w:r>
        <w:rPr>
          <w:rFonts w:ascii="Arial" w:cs="Arial" w:eastAsia="Arial" w:hAnsi="Arial"/>
          <w:b/>
          <w:bCs/>
          <w:i/>
          <w:iCs/>
          <w:sz w:val="24"/>
          <w:szCs w:val="24"/>
        </w:rPr>
        <w:t xml:space="preserve">3. CARACTERÍSTICAS E DURAÇÃO DAS BOLSAS</w:t>
      </w:r>
    </w:p>
    <w:p>
      <w:pPr>
        <w:spacing w:after="120" w:before="60" w:line="300"/>
        <w:jc w:val="both"/>
      </w:pPr>
      <w:r>
        <w:rPr>
          <w:rFonts w:ascii="Arial" w:cs="Arial" w:eastAsia="Arial" w:hAnsi="Arial"/>
          <w:b w:val="false"/>
          <w:bCs w:val="false"/>
          <w:i w:val="false"/>
          <w:iCs w:val="false"/>
          <w:sz w:val="22"/>
          <w:szCs w:val="22"/>
        </w:rPr>
        <w:t xml:space="preserve">Serão concedidas 02 (duas) bolsas, na modalidade Doutor Bolsista, em duas linhas de seleção complementares (Seleção 1 — Ciência da Computação; Seleção 2 — Economia), com duração prevista de 12 (doze) meses cada, podendo ser renovadas, conforme quadro abaixo:</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750"/>
        <w:gridCol w:w="750"/>
        <w:gridCol w:w="750"/>
        <w:gridCol w:w="750"/>
        <w:gridCol w:w="750"/>
        <w:gridCol w:w="750"/>
        <w:gridCol w:w="750"/>
        <w:gridCol w:w="760"/>
      </w:tblGrid>
      <w:tr>
        <w:trPr>
          <w:tblHeader/>
        </w:trPr>
        <w:tc>
          <w:tcPr>
            <w:tcW w:type="dxa" w:w="2200"/>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Modalidade de bolsa</w:t>
            </w:r>
          </w:p>
        </w:tc>
        <w:tc>
          <w:tcPr>
            <w:tcW w:type="dxa" w:w="1200"/>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Valor da bolsa</w:t>
            </w:r>
          </w:p>
        </w:tc>
        <w:tc>
          <w:tcPr>
            <w:tcW w:type="dxa" w:w="3000"/>
            <w:gridSpan w:val="4"/>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Vagas imediatas</w:t>
            </w:r>
          </w:p>
        </w:tc>
        <w:tc>
          <w:tcPr>
            <w:tcW w:type="dxa" w:w="3010"/>
            <w:gridSpan w:val="4"/>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Cadastro Reserva</w:t>
            </w:r>
          </w:p>
        </w:tc>
      </w:tr>
      <w:tr>
        <w:trPr>
          <w:tblHeader/>
        </w:trPr>
        <w:tc>
          <w:tcPr>
            <w:tcW w:type="dxa" w:w="220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
            </w:r>
          </w:p>
        </w:tc>
        <w:tc>
          <w:tcPr>
            <w:tcW w:type="dxa" w:w="120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
            </w:r>
          </w:p>
        </w:tc>
        <w:tc>
          <w:tcPr>
            <w:tcW w:type="dxa" w:w="75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AC</w:t>
            </w:r>
          </w:p>
        </w:tc>
        <w:tc>
          <w:tcPr>
            <w:tcW w:type="dxa" w:w="75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ER</w:t>
            </w:r>
          </w:p>
        </w:tc>
        <w:tc>
          <w:tcPr>
            <w:tcW w:type="dxa" w:w="75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M</w:t>
            </w:r>
          </w:p>
        </w:tc>
        <w:tc>
          <w:tcPr>
            <w:tcW w:type="dxa" w:w="75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PCD</w:t>
            </w:r>
          </w:p>
        </w:tc>
        <w:tc>
          <w:tcPr>
            <w:tcW w:type="dxa" w:w="75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AC</w:t>
            </w:r>
          </w:p>
        </w:tc>
        <w:tc>
          <w:tcPr>
            <w:tcW w:type="dxa" w:w="75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ER</w:t>
            </w:r>
          </w:p>
        </w:tc>
        <w:tc>
          <w:tcPr>
            <w:tcW w:type="dxa" w:w="75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M</w:t>
            </w:r>
          </w:p>
        </w:tc>
        <w:tc>
          <w:tcPr>
            <w:tcW w:type="dxa" w:w="76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PCD</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Doutor Bolsista (Seleção 1 — Ciência da Computação)</w:t>
            </w:r>
          </w:p>
        </w:tc>
        <w:tc>
          <w:tcPr>
            <w:tcW w:type="dxa" w:w="12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R$ 6.760,00</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01</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03</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Doutor Bolsista (Seleção 2 — Economia)</w:t>
            </w:r>
          </w:p>
        </w:tc>
        <w:tc>
          <w:tcPr>
            <w:tcW w:type="dxa" w:w="12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R$ 6.760,00</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01</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03</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5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c>
          <w:tcPr>
            <w:tcW w:type="dxa" w:w="7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w:t>
            </w:r>
          </w:p>
        </w:tc>
      </w:tr>
    </w:tbl>
    <w:p>
      <w:r>
        <w:rPr>
          <w:rFonts w:ascii="Arial" w:cs="Arial" w:eastAsia="Arial" w:hAnsi="Arial"/>
          <w:sz w:val="22"/>
          <w:szCs w:val="22"/>
        </w:rPr>
        <w:t xml:space="preserve"/>
      </w:r>
    </w:p>
    <w:p>
      <w:pPr>
        <w:spacing w:after="120" w:before="60" w:line="300"/>
        <w:jc w:val="both"/>
      </w:pPr>
      <w:r>
        <w:rPr>
          <w:rFonts w:ascii="Arial" w:cs="Arial" w:eastAsia="Arial" w:hAnsi="Arial"/>
          <w:b w:val="false"/>
          <w:bCs w:val="false"/>
          <w:i w:val="false"/>
          <w:iCs w:val="false"/>
          <w:sz w:val="22"/>
          <w:szCs w:val="22"/>
        </w:rPr>
        <w:t xml:space="preserve">AC: Ampla concorrência.</w:t>
      </w:r>
    </w:p>
    <w:p>
      <w:pPr>
        <w:spacing w:after="120" w:before="60" w:line="300"/>
        <w:jc w:val="both"/>
      </w:pPr>
      <w:r>
        <w:rPr>
          <w:rFonts w:ascii="Arial" w:cs="Arial" w:eastAsia="Arial" w:hAnsi="Arial"/>
          <w:b w:val="false"/>
          <w:bCs w:val="false"/>
          <w:i w:val="false"/>
          <w:iCs w:val="false"/>
          <w:sz w:val="22"/>
          <w:szCs w:val="22"/>
        </w:rPr>
        <w:t xml:space="preserve">ER: Étnico-racial (pretos, pardos e indígenas).</w:t>
      </w:r>
    </w:p>
    <w:p>
      <w:pPr>
        <w:spacing w:after="120" w:before="60" w:line="300"/>
        <w:jc w:val="both"/>
      </w:pPr>
      <w:r>
        <w:rPr>
          <w:rFonts w:ascii="Arial" w:cs="Arial" w:eastAsia="Arial" w:hAnsi="Arial"/>
          <w:b w:val="false"/>
          <w:bCs w:val="false"/>
          <w:i w:val="false"/>
          <w:iCs w:val="false"/>
          <w:sz w:val="22"/>
          <w:szCs w:val="22"/>
        </w:rPr>
        <w:t xml:space="preserve">M: Mulheres.</w:t>
      </w:r>
    </w:p>
    <w:p>
      <w:pPr>
        <w:spacing w:after="120" w:before="60" w:line="300"/>
        <w:jc w:val="both"/>
      </w:pPr>
      <w:r>
        <w:rPr>
          <w:rFonts w:ascii="Arial" w:cs="Arial" w:eastAsia="Arial" w:hAnsi="Arial"/>
          <w:b w:val="false"/>
          <w:bCs w:val="false"/>
          <w:i w:val="false"/>
          <w:iCs w:val="false"/>
          <w:sz w:val="22"/>
          <w:szCs w:val="22"/>
        </w:rPr>
        <w:t xml:space="preserve">PCD: Pessoa com deficiência.</w:t>
      </w:r>
    </w:p>
    <w:p>
      <w:pPr>
        <w:spacing w:after="120" w:before="60" w:line="300"/>
        <w:jc w:val="both"/>
      </w:pPr>
      <w:r>
        <w:rPr>
          <w:rFonts w:ascii="Arial" w:cs="Arial" w:eastAsia="Arial" w:hAnsi="Arial"/>
          <w:b w:val="false"/>
          <w:bCs w:val="false"/>
          <w:i/>
          <w:iCs/>
          <w:sz w:val="22"/>
          <w:szCs w:val="22"/>
        </w:rPr>
        <w:t xml:space="preserve">Observação: não haverá reserva de vagas para os públicos ER, M e PCD na presente chamada, conforme os critérios estabelecidos na Portaria IPEA nº 317/2025.</w:t>
      </w:r>
    </w:p>
    <w:p>
      <w:pPr>
        <w:pStyle w:val="Heading1"/>
        <w:spacing w:after="160" w:before="320"/>
      </w:pPr>
      <w:r>
        <w:rPr>
          <w:rFonts w:ascii="Arial" w:cs="Arial" w:eastAsia="Arial" w:hAnsi="Arial"/>
          <w:b/>
          <w:bCs/>
          <w:i/>
          <w:iCs/>
          <w:sz w:val="24"/>
          <w:szCs w:val="24"/>
        </w:rPr>
        <w:t xml:space="preserve">4. RESUMO E PROPÓSITO DO PROJETO DE PESQUISA APLICADA</w:t>
      </w:r>
    </w:p>
    <w:p>
      <w:pPr>
        <w:spacing w:after="120" w:before="60" w:line="300"/>
        <w:jc w:val="both"/>
      </w:pPr>
      <w:r>
        <w:rPr>
          <w:rFonts w:ascii="Arial" w:cs="Arial" w:eastAsia="Arial" w:hAnsi="Arial"/>
          <w:b w:val="false"/>
          <w:bCs w:val="false"/>
          <w:i w:val="false"/>
          <w:iCs w:val="false"/>
          <w:sz w:val="22"/>
          <w:szCs w:val="22"/>
        </w:rPr>
        <w:t xml:space="preserve">A transformação digital do Estado brasileiro avança em ritmo acelerado e em múltiplas frentes. O país vive uma transição profunda de infraestruturas próprias de centros de dados (on-premise) para soluções em nuvem (cloud), movimento consolidado pela obrigatoriedade estabelecida na Instrução Normativa SGD/ME nº 94/2022. Na prática, contudo, a infraestrutura que sustenta o Estado digital depende quase integralmente de um pequeno grupo de gigantes transnacionais — os chamados hyperscalers —, revelando uma dependência estrutural que levanta uma questão crítica: em que medida o Estado brasileiro detém autonomia efetiva sobre as infraestruturas digitais que sustentam sua própria transformação? O projeto investiga o papel do Estado não apenas como regulador, mas como incentivador, articulador, provedor e usuário de tecnologias, com foco nas condições de autonomia tecnológica no desenvolvimento de novas tecnologias (como a IA) e na implementação de novos arranjos para a oferta de serviços públicos, como as Infraestruturas Públicas Digitais (DPI), articulando-se ainda com a Nova Indústria Brasil (NIB) e com as Estratégias Federal de Governo Digital (EFGD) e Estratégia Nacional de Governo Digital (ENGD).</w:t>
      </w:r>
    </w:p>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Seleção 1 — Doutor Bolsista em Ciência da Computação</w:t>
      </w:r>
    </w:p>
    <w:p>
      <w:pPr>
        <w:spacing w:after="120" w:before="60" w:line="300"/>
        <w:jc w:val="both"/>
      </w:pPr>
      <w:r>
        <w:rPr>
          <w:rFonts w:ascii="Arial" w:cs="Arial" w:eastAsia="Arial" w:hAnsi="Arial"/>
          <w:b w:val="false"/>
          <w:bCs w:val="false"/>
          <w:i w:val="false"/>
          <w:iCs w:val="false"/>
          <w:sz w:val="22"/>
          <w:szCs w:val="22"/>
        </w:rPr>
        <w:t xml:space="preserve">A bolsa de Doutor Bolsista em Ciência da Computação destina-se a integrar a COGIT – Coordenação de Estudos sobre a Governança e Implementação da Transformação Digital da DIEST com competência analítica e técnica em arquitetura de sistemas, infraestrutura de dados, cibersegurança e sistemas de identidade digital, com foco no exame técnico das soluções tecnológicas adotadas pelo Estado brasileiro nos pilares das Infraestruturas Públicas Digitais (DPI) — sistemas de identificação, meios de pagamento e troca interoperável de dados. O(a) pesquisador(a) selecionado(a) atuará na avaliação técnica dos graus de controle operacional, residência de dados e dependência criptográfica que caracterizam as soluções em computação em nuvem, identidade digital e IA em uso no governo federal, contribuindo para a operacionalização da taxonomia de soberania digital prevista no projeto a partir de critérios técnico-arquiteturais verificáveis.</w:t>
      </w:r>
    </w:p>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Seleção 2 — Doutor Bolsista em Economia</w:t>
      </w:r>
    </w:p>
    <w:p>
      <w:pPr>
        <w:spacing w:after="120" w:before="60" w:line="300"/>
        <w:jc w:val="both"/>
      </w:pPr>
      <w:r>
        <w:rPr>
          <w:rFonts w:ascii="Arial" w:cs="Arial" w:eastAsia="Arial" w:hAnsi="Arial"/>
          <w:b w:val="false"/>
          <w:bCs w:val="false"/>
          <w:i w:val="false"/>
          <w:iCs w:val="false"/>
          <w:sz w:val="22"/>
          <w:szCs w:val="22"/>
        </w:rPr>
        <w:t xml:space="preserve">A bolsa de Doutor Bolsista destina-se a integrar a COGIT – Coordenação de Estudos sobre a Governança e Implementação da Transformação Digital da DIEST com competência analítica em economia da tecnologia, economia da inovação, política industrial e análise de políticas públicas, instrumentos de financiamento como créditos, subsídios, incentivos fiscais e subvenções públicas, com foco na articulação entre as escolhas tecnológicas do Estado (em DPI, computação em nuvem, IA e identidade digital) e as agendas de transformação produtiva (Nova Indústria Brasil — NIB), reindustrialização e fortalecimento das capacidades tecnológicas nacionais. O(a) pesquisador(a) selecionado(a) atuará na análise econômica dos contratos de aquisição, dos modelos de licenciamento de programas de computador e dos padrões de gasto público com soluções tecnológicas, bem como na avaliação de custos, benefícios e instrumentos de regulação econômica das infraestruturas públicas digitais, contribuindo para a formulação da taxonomia de soberania digital prevista no projeto (residência de dados, controle operacional e imunidade jurídica) com perspectiva econômica e regulatória.</w:t>
      </w:r>
    </w:p>
    <w:p>
      <w:pPr>
        <w:pStyle w:val="Heading1"/>
        <w:spacing w:after="160" w:before="320"/>
      </w:pPr>
      <w:r>
        <w:rPr>
          <w:rFonts w:ascii="Arial" w:cs="Arial" w:eastAsia="Arial" w:hAnsi="Arial"/>
          <w:b/>
          <w:bCs/>
          <w:i/>
          <w:iCs/>
          <w:sz w:val="24"/>
          <w:szCs w:val="24"/>
        </w:rPr>
        <w:t xml:space="preserve">5. ATIVIDADES A SEREM REALIZADAS PELA(S) PESSOA(S) SELECIONADA(S):</w:t>
      </w:r>
    </w:p>
    <w:p>
      <w:pPr>
        <w:spacing w:after="120" w:before="60" w:line="300"/>
        <w:jc w:val="both"/>
      </w:pPr>
      <w:r>
        <w:rPr>
          <w:rFonts w:ascii="Arial" w:cs="Arial" w:eastAsia="Arial" w:hAnsi="Arial"/>
          <w:b/>
          <w:bCs/>
          <w:i w:val="false"/>
          <w:iCs w:val="false"/>
          <w:sz w:val="22"/>
          <w:szCs w:val="22"/>
        </w:rPr>
        <w:t xml:space="preserve">Seleção 1 — Doutor Bolsista em Ciência da Computação:</w:t>
      </w:r>
    </w:p>
    <w:p>
      <w:pPr>
        <w:pStyle w:val="ListParagraph"/>
        <w:numPr>
          <w:ilvl w:val="0"/>
          <w:numId w:val="2"/>
        </w:numPr>
        <w:spacing w:after="80" w:before="40" w:line="300"/>
        <w:jc w:val="both"/>
      </w:pPr>
      <w:r>
        <w:rPr>
          <w:rFonts w:ascii="Arial" w:cs="Arial" w:eastAsia="Arial" w:hAnsi="Arial"/>
          <w:sz w:val="22"/>
          <w:szCs w:val="22"/>
        </w:rPr>
        <w:t xml:space="preserve">Conduzir análise técnica da infraestrutura de dados e dos sistemas de políticas públicas brasileiras.</w:t>
      </w:r>
    </w:p>
    <w:p>
      <w:pPr>
        <w:pStyle w:val="ListParagraph"/>
        <w:numPr>
          <w:ilvl w:val="0"/>
          <w:numId w:val="2"/>
        </w:numPr>
        <w:spacing w:after="80" w:before="40" w:line="300"/>
        <w:jc w:val="both"/>
      </w:pPr>
      <w:r>
        <w:rPr>
          <w:rFonts w:ascii="Arial" w:cs="Arial" w:eastAsia="Arial" w:hAnsi="Arial"/>
          <w:sz w:val="22"/>
          <w:szCs w:val="22"/>
        </w:rPr>
        <w:t xml:space="preserve">Examinar, sob perspectiva técnico-arquitetural, o grau de controle operacional, residência de dados e dependência criptográfica das soluções em computação em nuvem em uso no governo federal, em diálogo com a Instrução Normativa SGD/ME nº 94/2022.</w:t>
      </w:r>
    </w:p>
    <w:p>
      <w:pPr>
        <w:pStyle w:val="ListParagraph"/>
        <w:numPr>
          <w:ilvl w:val="0"/>
          <w:numId w:val="2"/>
        </w:numPr>
        <w:spacing w:after="80" w:before="40" w:line="300"/>
        <w:jc w:val="both"/>
      </w:pPr>
      <w:r>
        <w:rPr>
          <w:rFonts w:ascii="Arial" w:cs="Arial" w:eastAsia="Arial" w:hAnsi="Arial"/>
          <w:sz w:val="22"/>
          <w:szCs w:val="22"/>
        </w:rPr>
        <w:t xml:space="preserve">Contribuir para a construção e operacionalização da taxonomia de soberania digital (residência de dados, controle operacional e imunidade jurídica) sob perspectiva técnica, definindo critérios verificáveis para cada dimensão.</w:t>
      </w:r>
    </w:p>
    <w:p>
      <w:pPr>
        <w:pStyle w:val="ListParagraph"/>
        <w:numPr>
          <w:ilvl w:val="0"/>
          <w:numId w:val="2"/>
        </w:numPr>
        <w:spacing w:after="80" w:before="40" w:line="300"/>
        <w:jc w:val="both"/>
      </w:pPr>
      <w:r>
        <w:rPr>
          <w:rFonts w:ascii="Arial" w:cs="Arial" w:eastAsia="Arial" w:hAnsi="Arial"/>
          <w:sz w:val="22"/>
          <w:szCs w:val="22"/>
        </w:rPr>
        <w:t xml:space="preserve">Analisar arquiteturas de plataformização do Estado sob perspectiva de viabilidade tecnológica, segurança e autonomia estatal.</w:t>
      </w:r>
    </w:p>
    <w:p>
      <w:pPr>
        <w:pStyle w:val="ListParagraph"/>
        <w:numPr>
          <w:ilvl w:val="0"/>
          <w:numId w:val="2"/>
        </w:numPr>
        <w:spacing w:after="80" w:before="40" w:line="300"/>
        <w:jc w:val="both"/>
      </w:pPr>
      <w:r>
        <w:rPr>
          <w:rFonts w:ascii="Arial" w:cs="Arial" w:eastAsia="Arial" w:hAnsi="Arial"/>
          <w:sz w:val="22"/>
          <w:szCs w:val="22"/>
        </w:rPr>
        <w:t xml:space="preserve">Elaborar documentos técnicos e recomendações sobre arquitetura de soluções resilientes e soberanas para o Estado brasileiro.</w:t>
      </w:r>
    </w:p>
    <w:p>
      <w:pPr>
        <w:pStyle w:val="ListParagraph"/>
        <w:numPr>
          <w:ilvl w:val="0"/>
          <w:numId w:val="2"/>
        </w:numPr>
        <w:spacing w:after="80" w:before="40" w:line="300"/>
        <w:jc w:val="both"/>
      </w:pPr>
      <w:r>
        <w:rPr>
          <w:rFonts w:ascii="Arial" w:cs="Arial" w:eastAsia="Arial" w:hAnsi="Arial"/>
          <w:sz w:val="22"/>
          <w:szCs w:val="22"/>
        </w:rPr>
        <w:t xml:space="preserve">Contribuir com produção de textos de diagnóstico previstos no projeto, bem como textos para discussão e notas técnicas voltados ao público técnico e institucional.</w:t>
      </w:r>
    </w:p>
    <w:p>
      <w:pPr>
        <w:pStyle w:val="ListParagraph"/>
        <w:numPr>
          <w:ilvl w:val="0"/>
          <w:numId w:val="2"/>
        </w:numPr>
        <w:spacing w:after="80" w:before="40" w:line="300"/>
        <w:jc w:val="both"/>
      </w:pPr>
      <w:r>
        <w:rPr>
          <w:rFonts w:ascii="Arial" w:cs="Arial" w:eastAsia="Arial" w:hAnsi="Arial"/>
          <w:sz w:val="22"/>
          <w:szCs w:val="22"/>
        </w:rPr>
        <w:t xml:space="preserve">Participar de seminários, eventos científicos e apresentação de resultados, contribuindo para a disseminação das produções da COGIT/DIEST.</w:t>
      </w:r>
    </w:p>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Seleção 2 — Doutor Bolsista em Economia:</w:t>
      </w:r>
    </w:p>
    <w:p>
      <w:pPr>
        <w:pStyle w:val="ListParagraph"/>
        <w:numPr>
          <w:ilvl w:val="0"/>
          <w:numId w:val="2"/>
        </w:numPr>
        <w:spacing w:after="80" w:before="40" w:line="300"/>
        <w:jc w:val="both"/>
      </w:pPr>
      <w:r>
        <w:rPr>
          <w:rFonts w:ascii="Arial" w:cs="Arial" w:eastAsia="Arial" w:hAnsi="Arial"/>
          <w:sz w:val="22"/>
          <w:szCs w:val="22"/>
        </w:rPr>
        <w:t xml:space="preserve">Conduzir revisão sistemática e semissistemática da literatura sobre economia da tecnologia, dependência tecnológica, política industrial e regulação econômica aplicada à infraestrutura digital.</w:t>
      </w:r>
    </w:p>
    <w:p>
      <w:pPr>
        <w:pStyle w:val="ListParagraph"/>
        <w:numPr>
          <w:ilvl w:val="0"/>
          <w:numId w:val="2"/>
        </w:numPr>
        <w:spacing w:after="80" w:before="40" w:line="300"/>
        <w:jc w:val="both"/>
      </w:pPr>
      <w:r>
        <w:rPr>
          <w:rFonts w:ascii="Arial" w:cs="Arial" w:eastAsia="Arial" w:hAnsi="Arial"/>
          <w:sz w:val="22"/>
          <w:szCs w:val="22"/>
        </w:rPr>
        <w:t xml:space="preserve">Contribuir para a construção e operacionalização da taxonomia de soberania digital (residência de dados, controle operacional e imunidade jurídica) sob perspectiva da economia política da tecnologia e da regulação econômica.</w:t>
      </w:r>
    </w:p>
    <w:p>
      <w:pPr>
        <w:pStyle w:val="ListParagraph"/>
        <w:numPr>
          <w:ilvl w:val="0"/>
          <w:numId w:val="2"/>
        </w:numPr>
        <w:spacing w:after="80" w:before="40" w:line="300"/>
        <w:jc w:val="both"/>
      </w:pPr>
      <w:r>
        <w:rPr>
          <w:rFonts w:ascii="Arial" w:cs="Arial" w:eastAsia="Arial" w:hAnsi="Arial"/>
          <w:sz w:val="22"/>
          <w:szCs w:val="22"/>
        </w:rPr>
        <w:t xml:space="preserve">Apoiar a análise econômica dos contratos de aquisição, dos modelos de licenciamento de programas de computador e dos padrões de gasto público federal com soluções tecnológicas (computação em nuvem, software, cibersegurança, IA), incluindo análise de custo-benefício.</w:t>
      </w:r>
    </w:p>
    <w:p>
      <w:pPr>
        <w:pStyle w:val="ListParagraph"/>
        <w:numPr>
          <w:ilvl w:val="0"/>
          <w:numId w:val="2"/>
        </w:numPr>
        <w:spacing w:after="80" w:before="40" w:line="300"/>
        <w:jc w:val="both"/>
      </w:pPr>
      <w:r>
        <w:rPr>
          <w:rFonts w:ascii="Arial" w:cs="Arial" w:eastAsia="Arial" w:hAnsi="Arial"/>
          <w:sz w:val="22"/>
          <w:szCs w:val="22"/>
        </w:rPr>
        <w:t xml:space="preserve">Examinar os pontos de tangência entre as estratégias recentes de transformação digital do Estado (ENGD e EFGD) e a estratégia de transformação produtiva (Nova Indústria Brasil — NIB), com foco em incentivos à indústria nacional de tecnologia e em instrumentos regulatórios.</w:t>
      </w:r>
    </w:p>
    <w:p>
      <w:pPr>
        <w:pStyle w:val="ListParagraph"/>
        <w:numPr>
          <w:ilvl w:val="0"/>
          <w:numId w:val="2"/>
        </w:numPr>
        <w:spacing w:after="80" w:before="40" w:line="300"/>
        <w:jc w:val="both"/>
      </w:pPr>
      <w:r>
        <w:rPr>
          <w:rFonts w:ascii="Arial" w:cs="Arial" w:eastAsia="Arial" w:hAnsi="Arial"/>
          <w:sz w:val="22"/>
          <w:szCs w:val="22"/>
        </w:rPr>
        <w:t xml:space="preserve">Apoiar a análise comparada de experiências internacionais selecionadas (especialmente Europa, BRICS e América Latina) quanto a políticas econômicas de soberania digital, autonomia tecnológica e cloud soberano.</w:t>
      </w:r>
    </w:p>
    <w:p>
      <w:pPr>
        <w:pStyle w:val="ListParagraph"/>
        <w:numPr>
          <w:ilvl w:val="0"/>
          <w:numId w:val="2"/>
        </w:numPr>
        <w:spacing w:after="80" w:before="40" w:line="300"/>
        <w:jc w:val="both"/>
      </w:pPr>
      <w:r>
        <w:rPr>
          <w:rFonts w:ascii="Arial" w:cs="Arial" w:eastAsia="Arial" w:hAnsi="Arial"/>
          <w:sz w:val="22"/>
          <w:szCs w:val="22"/>
        </w:rPr>
        <w:t xml:space="preserve">Contribuir para relatórios de diagnóstico previstos no projeto, bem como textos para discussão e notas técnicas voltados ao público técnico e institucional.</w:t>
      </w:r>
    </w:p>
    <w:p>
      <w:pPr>
        <w:pStyle w:val="ListParagraph"/>
        <w:numPr>
          <w:ilvl w:val="0"/>
          <w:numId w:val="2"/>
        </w:numPr>
        <w:spacing w:after="80" w:before="40" w:line="300"/>
        <w:jc w:val="both"/>
      </w:pPr>
      <w:r>
        <w:rPr>
          <w:rFonts w:ascii="Arial" w:cs="Arial" w:eastAsia="Arial" w:hAnsi="Arial"/>
          <w:sz w:val="22"/>
          <w:szCs w:val="22"/>
        </w:rPr>
        <w:t xml:space="preserve">Participar de seminários, eventos científicos e apresentação de resultados, contribuindo para a disseminação das produções da COGIT/DIEST.</w:t>
      </w:r>
    </w:p>
    <w:p>
      <w:pPr>
        <w:pStyle w:val="Heading1"/>
        <w:spacing w:after="160" w:before="320"/>
      </w:pPr>
      <w:r>
        <w:rPr>
          <w:rFonts w:ascii="Arial" w:cs="Arial" w:eastAsia="Arial" w:hAnsi="Arial"/>
          <w:b/>
          <w:bCs/>
          <w:i/>
          <w:iCs/>
          <w:sz w:val="24"/>
          <w:szCs w:val="24"/>
        </w:rPr>
        <w:t xml:space="preserve">6. RESULTADOS ESPERADOS</w:t>
      </w:r>
    </w:p>
    <w:p>
      <w:pPr>
        <w:spacing w:after="120" w:before="60" w:line="300"/>
        <w:jc w:val="both"/>
      </w:pPr>
      <w:r>
        <w:rPr>
          <w:rFonts w:ascii="Arial" w:cs="Arial" w:eastAsia="Arial" w:hAnsi="Arial"/>
          <w:b/>
          <w:bCs/>
          <w:i w:val="false"/>
          <w:iCs w:val="false"/>
          <w:sz w:val="22"/>
          <w:szCs w:val="22"/>
        </w:rPr>
        <w:t xml:space="preserve">Seleção 1 — Doutor Bolsista em Ciência da Computação:</w:t>
      </w:r>
    </w:p>
    <w:p>
      <w:pPr>
        <w:pStyle w:val="ListParagraph"/>
        <w:numPr>
          <w:ilvl w:val="0"/>
          <w:numId w:val="2"/>
        </w:numPr>
        <w:spacing w:after="80" w:before="40" w:line="300"/>
        <w:jc w:val="both"/>
      </w:pPr>
      <w:r>
        <w:rPr>
          <w:rFonts w:ascii="Arial" w:cs="Arial" w:eastAsia="Arial" w:hAnsi="Arial"/>
          <w:sz w:val="22"/>
          <w:szCs w:val="22"/>
        </w:rPr>
        <w:t xml:space="preserve">Ampliação da capacidade institucional do IPEA para análise técnica da dimensão arquitetural e de segurança da soberania digital do Estado brasileiro.</w:t>
      </w:r>
    </w:p>
    <w:p>
      <w:pPr>
        <w:pStyle w:val="ListParagraph"/>
        <w:numPr>
          <w:ilvl w:val="0"/>
          <w:numId w:val="2"/>
        </w:numPr>
        <w:spacing w:after="80" w:before="40" w:line="300"/>
        <w:jc w:val="both"/>
      </w:pPr>
      <w:r>
        <w:rPr>
          <w:rFonts w:ascii="Arial" w:cs="Arial" w:eastAsia="Arial" w:hAnsi="Arial"/>
          <w:sz w:val="22"/>
          <w:szCs w:val="22"/>
        </w:rPr>
        <w:t xml:space="preserve">Contribuição substantiva aos relatórios de diagnóstico do projeto, em especial no que tange à análise técnica de infraestrutura, segurança e transformação soberana do Estado.</w:t>
      </w:r>
    </w:p>
    <w:p>
      <w:pPr>
        <w:pStyle w:val="ListParagraph"/>
        <w:numPr>
          <w:ilvl w:val="0"/>
          <w:numId w:val="2"/>
        </w:numPr>
        <w:spacing w:after="80" w:before="40" w:line="300"/>
        <w:jc w:val="both"/>
      </w:pPr>
      <w:r>
        <w:rPr>
          <w:rFonts w:ascii="Arial" w:cs="Arial" w:eastAsia="Arial" w:hAnsi="Arial"/>
          <w:sz w:val="22"/>
          <w:szCs w:val="22"/>
        </w:rPr>
        <w:t xml:space="preserve">Recomendações técnicas para arquitetura de sistemas seguros e soberanos, aplicáveis ao processo decisório do governo federal.</w:t>
      </w:r>
    </w:p>
    <w:p>
      <w:pPr>
        <w:pStyle w:val="ListParagraph"/>
        <w:numPr>
          <w:ilvl w:val="0"/>
          <w:numId w:val="2"/>
        </w:numPr>
        <w:spacing w:after="80" w:before="40" w:line="300"/>
        <w:jc w:val="both"/>
      </w:pPr>
      <w:r>
        <w:rPr>
          <w:rFonts w:ascii="Arial" w:cs="Arial" w:eastAsia="Arial" w:hAnsi="Arial"/>
          <w:sz w:val="22"/>
          <w:szCs w:val="22"/>
        </w:rPr>
        <w:t xml:space="preserve">Contribuição para produções editoriais publicadas (texto para discussão, relatórios e/ou notas técnicas).</w:t>
      </w:r>
    </w:p>
    <w:p>
      <w:pPr>
        <w:pStyle w:val="ListParagraph"/>
        <w:numPr>
          <w:ilvl w:val="0"/>
          <w:numId w:val="2"/>
        </w:numPr>
        <w:spacing w:after="80" w:before="40" w:line="300"/>
        <w:jc w:val="both"/>
      </w:pPr>
      <w:r>
        <w:rPr>
          <w:rFonts w:ascii="Arial" w:cs="Arial" w:eastAsia="Arial" w:hAnsi="Arial"/>
          <w:sz w:val="22"/>
          <w:szCs w:val="22"/>
        </w:rPr>
        <w:t xml:space="preserve">Subsídios qualificados para o debate público sobre arquitetura, segurança e dependência técnica nas escolhas tecnológicas do Estado.</w:t>
      </w:r>
    </w:p>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Seleção 2 — Doutor Bolsista em Economia:</w:t>
      </w:r>
    </w:p>
    <w:p>
      <w:pPr>
        <w:pStyle w:val="ListParagraph"/>
        <w:numPr>
          <w:ilvl w:val="0"/>
          <w:numId w:val="2"/>
        </w:numPr>
        <w:spacing w:after="80" w:before="40" w:line="300"/>
        <w:jc w:val="both"/>
      </w:pPr>
      <w:r>
        <w:rPr>
          <w:rFonts w:ascii="Arial" w:cs="Arial" w:eastAsia="Arial" w:hAnsi="Arial"/>
          <w:sz w:val="22"/>
          <w:szCs w:val="22"/>
        </w:rPr>
        <w:t xml:space="preserve">Ampliação da capacidade institucional do IPEA para análise da dimensão econômica da soberania digital e da dependência tecnológica do Estado brasileiro.</w:t>
      </w:r>
    </w:p>
    <w:p>
      <w:pPr>
        <w:pStyle w:val="ListParagraph"/>
        <w:numPr>
          <w:ilvl w:val="0"/>
          <w:numId w:val="2"/>
        </w:numPr>
        <w:spacing w:after="80" w:before="40" w:line="300"/>
        <w:jc w:val="both"/>
      </w:pPr>
      <w:r>
        <w:rPr>
          <w:rFonts w:ascii="Arial" w:cs="Arial" w:eastAsia="Arial" w:hAnsi="Arial"/>
          <w:sz w:val="22"/>
          <w:szCs w:val="22"/>
        </w:rPr>
        <w:t xml:space="preserve">Contribuição substantiva aos relatórios de diagnóstico do projeto, em especial no que tange à análise econômica e à articulação com a NIB.</w:t>
      </w:r>
    </w:p>
    <w:p>
      <w:pPr>
        <w:pStyle w:val="ListParagraph"/>
        <w:numPr>
          <w:ilvl w:val="0"/>
          <w:numId w:val="2"/>
        </w:numPr>
        <w:spacing w:after="80" w:before="40" w:line="300"/>
        <w:jc w:val="both"/>
      </w:pPr>
      <w:r>
        <w:rPr>
          <w:rFonts w:ascii="Arial" w:cs="Arial" w:eastAsia="Arial" w:hAnsi="Arial"/>
          <w:sz w:val="22"/>
          <w:szCs w:val="22"/>
        </w:rPr>
        <w:t xml:space="preserve">Recomendações de política pública e de regulação econômica aplicáveis ao processo decisório do governo federal sobre aquisições e desenvolvimento de soluções tecnológicas.</w:t>
      </w:r>
    </w:p>
    <w:p>
      <w:pPr>
        <w:pStyle w:val="ListParagraph"/>
        <w:numPr>
          <w:ilvl w:val="0"/>
          <w:numId w:val="2"/>
        </w:numPr>
        <w:spacing w:after="80" w:before="40" w:line="300"/>
        <w:jc w:val="both"/>
      </w:pPr>
      <w:r>
        <w:rPr>
          <w:rFonts w:ascii="Arial" w:cs="Arial" w:eastAsia="Arial" w:hAnsi="Arial"/>
          <w:sz w:val="22"/>
          <w:szCs w:val="22"/>
        </w:rPr>
        <w:t xml:space="preserve">Subsídios qualificados para o debate público sobre os incentivos econômicos envolvidos nas decisões de aquisição e desenvolvimento de soluções tecnológicas pelo Estado.</w:t>
      </w:r>
    </w:p>
    <w:p>
      <w:pPr>
        <w:pStyle w:val="Heading1"/>
        <w:spacing w:after="160" w:before="320"/>
      </w:pPr>
      <w:r>
        <w:rPr>
          <w:rFonts w:ascii="Arial" w:cs="Arial" w:eastAsia="Arial" w:hAnsi="Arial"/>
          <w:b/>
          <w:bCs/>
          <w:i/>
          <w:iCs/>
          <w:sz w:val="24"/>
          <w:szCs w:val="24"/>
        </w:rPr>
        <w:t xml:space="preserve">7. DURAÇÃO DA PESQUISA APLICADA</w:t>
      </w:r>
    </w:p>
    <w:p>
      <w:pPr>
        <w:spacing w:after="120" w:before="60" w:line="300"/>
        <w:jc w:val="both"/>
      </w:pPr>
      <w:r>
        <w:rPr>
          <w:rFonts w:ascii="Arial" w:cs="Arial" w:eastAsia="Arial" w:hAnsi="Arial"/>
          <w:b w:val="false"/>
          <w:bCs w:val="false"/>
          <w:i w:val="false"/>
          <w:iCs w:val="false"/>
          <w:sz w:val="22"/>
          <w:szCs w:val="22"/>
        </w:rPr>
        <w:t xml:space="preserve">Abril de 2026 a dezembro de 2027, conforme cronograma constante do projeto de pesquisa “Novas soluções para o governo digital: Soberania Digital, Inteligência Artificial e Infraestruturas Públicas Digitais” (item 6 — Cronograma).</w:t>
      </w:r>
    </w:p>
    <w:p>
      <w:pPr>
        <w:pStyle w:val="Heading1"/>
        <w:spacing w:after="160" w:before="320"/>
      </w:pPr>
      <w:r>
        <w:rPr>
          <w:rFonts w:ascii="Arial" w:cs="Arial" w:eastAsia="Arial" w:hAnsi="Arial"/>
          <w:b/>
          <w:bCs/>
          <w:i/>
          <w:iCs/>
          <w:sz w:val="24"/>
          <w:szCs w:val="24"/>
        </w:rPr>
        <w:t xml:space="preserve">8. REQUISITOS E DISPOSIÇÕES APLICÁVEIS A TODOS OS CANDIDATOS:</w:t>
      </w:r>
    </w:p>
    <w:p>
      <w:pPr>
        <w:spacing w:after="120" w:before="60" w:line="300"/>
        <w:jc w:val="both"/>
      </w:pPr>
      <w:r>
        <w:rPr>
          <w:rFonts w:ascii="Arial" w:cs="Arial" w:eastAsia="Arial" w:hAnsi="Arial"/>
          <w:b/>
          <w:bCs/>
          <w:i w:val="false"/>
          <w:iCs w:val="false"/>
          <w:sz w:val="22"/>
          <w:szCs w:val="22"/>
        </w:rPr>
        <w:t xml:space="preserve">Requisitos para a Seleção 1 — Doutor Bolsista em Ciência da Computação:</w:t>
      </w:r>
    </w:p>
    <w:p>
      <w:pPr>
        <w:spacing w:after="120" w:before="60" w:line="300"/>
        <w:jc w:val="both"/>
      </w:pPr>
      <w:r>
        <w:rPr>
          <w:rFonts w:ascii="Arial" w:cs="Arial" w:eastAsia="Arial" w:hAnsi="Arial"/>
          <w:b/>
          <w:bCs/>
          <w:i w:val="false"/>
          <w:iCs w:val="false"/>
          <w:sz w:val="22"/>
          <w:szCs w:val="22"/>
        </w:rPr>
        <w:t xml:space="preserve">1. </w:t>
      </w:r>
      <w:r>
        <w:rPr>
          <w:rFonts w:ascii="Arial" w:cs="Arial" w:eastAsia="Arial" w:hAnsi="Arial"/>
          <w:b w:val="false"/>
          <w:bCs w:val="false"/>
          <w:i w:val="false"/>
          <w:iCs w:val="false"/>
          <w:sz w:val="22"/>
          <w:szCs w:val="22"/>
        </w:rPr>
        <w:t xml:space="preserve">Possuir título de Doutor em uma das seguintes áreas: Ciência da Computação, Engenharia de Software, Engenharia da Computação, Sistemas de Informação, Tecnologia da Informação, Engenharia Elétrica (com tese em computação), ou áreas afins.</w:t>
      </w:r>
    </w:p>
    <w:p>
      <w:pPr>
        <w:spacing w:after="120" w:before="60" w:line="300"/>
        <w:jc w:val="both"/>
      </w:pPr>
      <w:r>
        <w:rPr>
          <w:rFonts w:ascii="Arial" w:cs="Arial" w:eastAsia="Arial" w:hAnsi="Arial"/>
          <w:b/>
          <w:bCs/>
          <w:i w:val="false"/>
          <w:iCs w:val="false"/>
          <w:sz w:val="22"/>
          <w:szCs w:val="22"/>
        </w:rPr>
        <w:t xml:space="preserve">2. </w:t>
      </w:r>
      <w:r>
        <w:rPr>
          <w:rFonts w:ascii="Arial" w:cs="Arial" w:eastAsia="Arial" w:hAnsi="Arial"/>
          <w:b w:val="false"/>
          <w:bCs w:val="false"/>
          <w:i w:val="false"/>
          <w:iCs w:val="false"/>
          <w:sz w:val="22"/>
          <w:szCs w:val="22"/>
        </w:rPr>
        <w:t xml:space="preserve">Sólida base de pesquisa em arquitetura de sistemas, infraestrutura de dados, computação em nuvem, segurança da informação ou identidade digital, com capacidade de análise aprofundada de conceitos relacionados a soberania digital, controle operacional e dependência técnica de fornecedores.</w:t>
      </w:r>
    </w:p>
    <w:p>
      <w:pPr>
        <w:spacing w:after="120" w:before="60" w:line="300"/>
        <w:jc w:val="both"/>
      </w:pPr>
      <w:r>
        <w:rPr>
          <w:rFonts w:ascii="Arial" w:cs="Arial" w:eastAsia="Arial" w:hAnsi="Arial"/>
          <w:b/>
          <w:bCs/>
          <w:i w:val="false"/>
          <w:iCs w:val="false"/>
          <w:sz w:val="22"/>
          <w:szCs w:val="22"/>
        </w:rPr>
        <w:t xml:space="preserve">3. </w:t>
      </w:r>
      <w:r>
        <w:rPr>
          <w:rFonts w:ascii="Arial" w:cs="Arial" w:eastAsia="Arial" w:hAnsi="Arial"/>
          <w:b w:val="false"/>
          <w:bCs w:val="false"/>
          <w:i w:val="false"/>
          <w:iCs w:val="false"/>
          <w:sz w:val="22"/>
          <w:szCs w:val="22"/>
        </w:rPr>
        <w:t xml:space="preserve">Experiência profissional, de pesquisa ou docência em desenvolvimento de software, infraestrutura, cibersegurança, criptografia ou sistemas de identidade digital.</w:t>
      </w:r>
    </w:p>
    <w:p>
      <w:pPr>
        <w:spacing w:after="120" w:before="60" w:line="300"/>
        <w:jc w:val="both"/>
      </w:pPr>
      <w:r>
        <w:rPr>
          <w:rFonts w:ascii="Arial" w:cs="Arial" w:eastAsia="Arial" w:hAnsi="Arial"/>
          <w:b/>
          <w:bCs/>
          <w:i w:val="false"/>
          <w:iCs w:val="false"/>
          <w:sz w:val="22"/>
          <w:szCs w:val="22"/>
        </w:rPr>
        <w:t xml:space="preserve">4. </w:t>
      </w:r>
      <w:r>
        <w:rPr>
          <w:rFonts w:ascii="Arial" w:cs="Arial" w:eastAsia="Arial" w:hAnsi="Arial"/>
          <w:b w:val="false"/>
          <w:bCs w:val="false"/>
          <w:i w:val="false"/>
          <w:iCs w:val="false"/>
          <w:sz w:val="22"/>
          <w:szCs w:val="22"/>
        </w:rPr>
        <w:t xml:space="preserve">Capacidade de combinar métodos quantitativos e qualitativos para investigar dinâmicas técnicas em contexto de transformação digital do Estado, incluindo análise de arquiteturas, padrões técnicos, contratos de licenciamento de programas de computador e modelos de implantação em nuvem.</w:t>
      </w:r>
    </w:p>
    <w:p>
      <w:pPr>
        <w:spacing w:after="120" w:before="60" w:line="300"/>
        <w:jc w:val="both"/>
      </w:pPr>
      <w:r>
        <w:rPr>
          <w:rFonts w:ascii="Arial" w:cs="Arial" w:eastAsia="Arial" w:hAnsi="Arial"/>
          <w:b/>
          <w:bCs/>
          <w:i w:val="false"/>
          <w:iCs w:val="false"/>
          <w:sz w:val="22"/>
          <w:szCs w:val="22"/>
        </w:rPr>
        <w:t xml:space="preserve">5. </w:t>
      </w:r>
      <w:r>
        <w:rPr>
          <w:rFonts w:ascii="Arial" w:cs="Arial" w:eastAsia="Arial" w:hAnsi="Arial"/>
          <w:b w:val="false"/>
          <w:bCs w:val="false"/>
          <w:i w:val="false"/>
          <w:iCs w:val="false"/>
          <w:sz w:val="22"/>
          <w:szCs w:val="22"/>
        </w:rPr>
        <w:t xml:space="preserve">Apresentar carta de intenção de até 2 (duas) páginas contendo considerações sobre a trajetória profissional, acadêmica e/ou docente, sobre as competências pessoais aplicáveis ao objeto da chamada, e sobre as motivações para participação, relatando se já trabalhou com os temas da soberania digital, da identidade digital, das infraestruturas públicas digitais ou de temas correlatos, bem como outros aspectos relacionados ao item 6.1 desta chamada, indicando os trabalhos realizados e período. A não apresentação da carta sujeitará a pessoa candidata à sua exclusão da Chamada Pública, mesmo que esta possua experiência na área requerida.</w:t>
      </w:r>
    </w:p>
    <w:p>
      <w:pPr>
        <w:spacing w:after="120" w:before="60" w:line="300"/>
        <w:jc w:val="both"/>
      </w:pPr>
      <w:r>
        <w:rPr>
          <w:rFonts w:ascii="Arial" w:cs="Arial" w:eastAsia="Arial" w:hAnsi="Arial"/>
          <w:b/>
          <w:bCs/>
          <w:i w:val="false"/>
          <w:iCs w:val="false"/>
          <w:sz w:val="22"/>
          <w:szCs w:val="22"/>
        </w:rPr>
        <w:t xml:space="preserve">6. </w:t>
      </w:r>
      <w:r>
        <w:rPr>
          <w:rFonts w:ascii="Arial" w:cs="Arial" w:eastAsia="Arial" w:hAnsi="Arial"/>
          <w:b w:val="false"/>
          <w:bCs w:val="false"/>
          <w:i w:val="false"/>
          <w:iCs w:val="false"/>
          <w:sz w:val="22"/>
          <w:szCs w:val="22"/>
        </w:rPr>
        <w:t xml:space="preserve">Capacidade de leitura em língua inglesa.</w:t>
      </w:r>
    </w:p>
    <w:p>
      <w:pPr>
        <w:spacing w:after="120" w:before="60" w:line="300"/>
        <w:jc w:val="both"/>
      </w:pPr>
      <w:r>
        <w:rPr>
          <w:rFonts w:ascii="Arial" w:cs="Arial" w:eastAsia="Arial" w:hAnsi="Arial"/>
          <w:b/>
          <w:bCs/>
          <w:i w:val="false"/>
          <w:iCs w:val="false"/>
          <w:sz w:val="22"/>
          <w:szCs w:val="22"/>
        </w:rPr>
        <w:t xml:space="preserve">7. </w:t>
      </w:r>
      <w:r>
        <w:rPr>
          <w:rFonts w:ascii="Arial" w:cs="Arial" w:eastAsia="Arial" w:hAnsi="Arial"/>
          <w:b w:val="false"/>
          <w:bCs w:val="false"/>
          <w:i w:val="false"/>
          <w:iCs w:val="false"/>
          <w:sz w:val="22"/>
          <w:szCs w:val="22"/>
        </w:rPr>
        <w:t xml:space="preserve">Ter disponibilidade para desenvolver as atividades de pesquisa no IPEA Brasília – DF, sempre que requerido.</w:t>
      </w:r>
    </w:p>
    <w:p>
      <w:pPr>
        <w:spacing w:after="120" w:before="60" w:line="300"/>
        <w:jc w:val="both"/>
      </w:pPr>
      <w:r>
        <w:rPr>
          <w:rFonts w:ascii="Arial" w:cs="Arial" w:eastAsia="Arial" w:hAnsi="Arial"/>
          <w:b/>
          <w:bCs/>
          <w:i w:val="false"/>
          <w:iCs w:val="false"/>
          <w:sz w:val="22"/>
          <w:szCs w:val="22"/>
        </w:rPr>
        <w:t xml:space="preserve">8. </w:t>
      </w:r>
      <w:r>
        <w:rPr>
          <w:rFonts w:ascii="Arial" w:cs="Arial" w:eastAsia="Arial" w:hAnsi="Arial"/>
          <w:b w:val="false"/>
          <w:bCs w:val="false"/>
          <w:i w:val="false"/>
          <w:iCs w:val="false"/>
          <w:sz w:val="22"/>
          <w:szCs w:val="22"/>
        </w:rPr>
        <w:t xml:space="preserve">Bom conhecimento da administração e da gestão pública federal brasileira, em especial no que concerne aos instrumentos normativos da política de governo digital (EFGD, ENGD, Instrução Normativa SGD/ME nº 94/2022) e às soluções tecnológicas em uso no governo federal.</w:t>
      </w:r>
    </w:p>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Requisitos para a Seleção 2 — Doutor Bolsista em Economia:</w:t>
      </w:r>
    </w:p>
    <w:p>
      <w:pPr>
        <w:spacing w:after="120" w:before="60" w:line="300"/>
        <w:jc w:val="both"/>
      </w:pPr>
      <w:r>
        <w:rPr>
          <w:rFonts w:ascii="Arial" w:cs="Arial" w:eastAsia="Arial" w:hAnsi="Arial"/>
          <w:b/>
          <w:bCs/>
          <w:i w:val="false"/>
          <w:iCs w:val="false"/>
          <w:sz w:val="22"/>
          <w:szCs w:val="22"/>
        </w:rPr>
        <w:t xml:space="preserve">1. </w:t>
      </w:r>
      <w:r>
        <w:rPr>
          <w:rFonts w:ascii="Arial" w:cs="Arial" w:eastAsia="Arial" w:hAnsi="Arial"/>
          <w:b w:val="false"/>
          <w:bCs w:val="false"/>
          <w:i w:val="false"/>
          <w:iCs w:val="false"/>
          <w:sz w:val="22"/>
          <w:szCs w:val="22"/>
        </w:rPr>
        <w:t xml:space="preserve">Possuir título de Doutor em uma das seguintes áreas: Economia, Ciência Econômica, Economia Aplicada, Teoria Econômica, Economia da Indústria e da Tecnologia, Desenvolvimento Econômico (Economia do Desenvolvimento), Engenharia (com tese em temas econômicos ou tecnológicos).</w:t>
      </w:r>
    </w:p>
    <w:p>
      <w:pPr>
        <w:spacing w:after="120" w:before="60" w:line="300"/>
        <w:jc w:val="both"/>
      </w:pPr>
      <w:r>
        <w:rPr>
          <w:rFonts w:ascii="Arial" w:cs="Arial" w:eastAsia="Arial" w:hAnsi="Arial"/>
          <w:b/>
          <w:bCs/>
          <w:i w:val="false"/>
          <w:iCs w:val="false"/>
          <w:sz w:val="22"/>
          <w:szCs w:val="22"/>
        </w:rPr>
        <w:t xml:space="preserve">2. </w:t>
      </w:r>
      <w:r>
        <w:rPr>
          <w:rFonts w:ascii="Arial" w:cs="Arial" w:eastAsia="Arial" w:hAnsi="Arial"/>
          <w:b w:val="false"/>
          <w:bCs w:val="false"/>
          <w:i w:val="false"/>
          <w:iCs w:val="false"/>
          <w:sz w:val="22"/>
          <w:szCs w:val="22"/>
        </w:rPr>
        <w:t xml:space="preserve">Sólida base de pesquisa em economia da tecnologia, economia da inovação ou economia política da tecnologia, com capacidade de análise aprofundada de conceitos relacionados a dependência tecnológica, política industrial, regulação econômica e estratégias estatais de desenvolvimento de capacidades tecnológicas.</w:t>
      </w:r>
    </w:p>
    <w:p>
      <w:pPr>
        <w:spacing w:after="120" w:before="60" w:line="300"/>
        <w:jc w:val="both"/>
      </w:pPr>
      <w:r>
        <w:rPr>
          <w:rFonts w:ascii="Arial" w:cs="Arial" w:eastAsia="Arial" w:hAnsi="Arial"/>
          <w:b/>
          <w:bCs/>
          <w:i w:val="false"/>
          <w:iCs w:val="false"/>
          <w:sz w:val="22"/>
          <w:szCs w:val="22"/>
        </w:rPr>
        <w:t xml:space="preserve">3. </w:t>
      </w:r>
      <w:r>
        <w:rPr>
          <w:rFonts w:ascii="Arial" w:cs="Arial" w:eastAsia="Arial" w:hAnsi="Arial"/>
          <w:b w:val="false"/>
          <w:bCs w:val="false"/>
          <w:i w:val="false"/>
          <w:iCs w:val="false"/>
          <w:sz w:val="22"/>
          <w:szCs w:val="22"/>
        </w:rPr>
        <w:t xml:space="preserve">Experiência profissional, de pesquisa ou docência em temas como política industrial, política de inovação, aquisições públicas em tecnologia, infraestrutura digital, economia de plataformas e/ou regulação econômica de mercados digitais.</w:t>
      </w:r>
    </w:p>
    <w:p>
      <w:pPr>
        <w:spacing w:after="120" w:before="60" w:line="300"/>
        <w:jc w:val="both"/>
      </w:pPr>
      <w:r>
        <w:rPr>
          <w:rFonts w:ascii="Arial" w:cs="Arial" w:eastAsia="Arial" w:hAnsi="Arial"/>
          <w:b/>
          <w:bCs/>
          <w:i w:val="false"/>
          <w:iCs w:val="false"/>
          <w:sz w:val="22"/>
          <w:szCs w:val="22"/>
        </w:rPr>
        <w:t xml:space="preserve">4. </w:t>
      </w:r>
      <w:r>
        <w:rPr>
          <w:rFonts w:ascii="Arial" w:cs="Arial" w:eastAsia="Arial" w:hAnsi="Arial"/>
          <w:b w:val="false"/>
          <w:bCs w:val="false"/>
          <w:i w:val="false"/>
          <w:iCs w:val="false"/>
          <w:sz w:val="22"/>
          <w:szCs w:val="22"/>
        </w:rPr>
        <w:t xml:space="preserve">Capacidade de combinar métodos quantitativos e qualitativos para investigar dinâmicas socioeconômicas em contexto de transformação digital, incluindo análise de contratos públicos, séries de gastos governamentais com TIC, métodos estatísticos e econométricos, utilização de bases de dados de pesquisas estruturais do IBGE (como PINTEC) ou do NIC.BR e estudos comparados de políticas de transformação digital e inovação.</w:t>
      </w:r>
    </w:p>
    <w:p>
      <w:pPr>
        <w:spacing w:after="120" w:before="60" w:line="300"/>
        <w:jc w:val="both"/>
      </w:pPr>
      <w:r>
        <w:rPr>
          <w:rFonts w:ascii="Arial" w:cs="Arial" w:eastAsia="Arial" w:hAnsi="Arial"/>
          <w:b/>
          <w:bCs/>
          <w:i w:val="false"/>
          <w:iCs w:val="false"/>
          <w:sz w:val="22"/>
          <w:szCs w:val="22"/>
        </w:rPr>
        <w:t xml:space="preserve">5. </w:t>
      </w:r>
      <w:r>
        <w:rPr>
          <w:rFonts w:ascii="Arial" w:cs="Arial" w:eastAsia="Arial" w:hAnsi="Arial"/>
          <w:b w:val="false"/>
          <w:bCs w:val="false"/>
          <w:i w:val="false"/>
          <w:iCs w:val="false"/>
          <w:sz w:val="22"/>
          <w:szCs w:val="22"/>
        </w:rPr>
        <w:t xml:space="preserve">Apresentar carta de intenção de até 2 (duas) páginas contendo considerações sobre a trajetória profissional, acadêmica e/ou docente, sobre as competências pessoais aplicáveis ao objeto da chamada, e sobre as motivações para participação, relatando se já trabalhou com os temas da soberania digital, da economia da tecnologia, da política industrial ou de temas correlatos, bem como outros aspectos relacionados ao item 6.1 desta chamada, indicando os trabalhos realizados e período. A não apresentação da carta sujeitará a pessoa candidata à sua exclusão da Chamada Pública, mesmo que esta possua experiência na área requerida.</w:t>
      </w:r>
    </w:p>
    <w:p>
      <w:pPr>
        <w:spacing w:after="120" w:before="60" w:line="300"/>
        <w:jc w:val="both"/>
      </w:pPr>
      <w:r>
        <w:rPr>
          <w:rFonts w:ascii="Arial" w:cs="Arial" w:eastAsia="Arial" w:hAnsi="Arial"/>
          <w:b/>
          <w:bCs/>
          <w:i w:val="false"/>
          <w:iCs w:val="false"/>
          <w:sz w:val="22"/>
          <w:szCs w:val="22"/>
        </w:rPr>
        <w:t xml:space="preserve">6. </w:t>
      </w:r>
      <w:r>
        <w:rPr>
          <w:rFonts w:ascii="Arial" w:cs="Arial" w:eastAsia="Arial" w:hAnsi="Arial"/>
          <w:b w:val="false"/>
          <w:bCs w:val="false"/>
          <w:i w:val="false"/>
          <w:iCs w:val="false"/>
          <w:sz w:val="22"/>
          <w:szCs w:val="22"/>
        </w:rPr>
        <w:t xml:space="preserve">Capacidade de leitura em língua inglesa e, preferencialmente, em uma segunda língua estrangeira (espanhol ou francês), tendo em vista a análise comparada de experiências internacionais (em especial europeias e latino-americanas).</w:t>
      </w:r>
    </w:p>
    <w:p>
      <w:pPr>
        <w:spacing w:after="120" w:before="60" w:line="300"/>
        <w:jc w:val="both"/>
      </w:pPr>
      <w:r>
        <w:rPr>
          <w:rFonts w:ascii="Arial" w:cs="Arial" w:eastAsia="Arial" w:hAnsi="Arial"/>
          <w:b/>
          <w:bCs/>
          <w:i w:val="false"/>
          <w:iCs w:val="false"/>
          <w:sz w:val="22"/>
          <w:szCs w:val="22"/>
        </w:rPr>
        <w:t xml:space="preserve">7. </w:t>
      </w:r>
      <w:r>
        <w:rPr>
          <w:rFonts w:ascii="Arial" w:cs="Arial" w:eastAsia="Arial" w:hAnsi="Arial"/>
          <w:b w:val="false"/>
          <w:bCs w:val="false"/>
          <w:i w:val="false"/>
          <w:iCs w:val="false"/>
          <w:sz w:val="22"/>
          <w:szCs w:val="22"/>
        </w:rPr>
        <w:t xml:space="preserve">Ter disponibilidade para desenvolver parte das atividades de pesquisa no IPEA Brasília – DF, sempre que requerido.</w:t>
      </w:r>
    </w:p>
    <w:p>
      <w:pPr>
        <w:spacing w:after="120" w:before="60" w:line="300"/>
        <w:jc w:val="both"/>
      </w:pPr>
      <w:r>
        <w:rPr>
          <w:rFonts w:ascii="Arial" w:cs="Arial" w:eastAsia="Arial" w:hAnsi="Arial"/>
          <w:b/>
          <w:bCs/>
          <w:i w:val="false"/>
          <w:iCs w:val="false"/>
          <w:sz w:val="22"/>
          <w:szCs w:val="22"/>
        </w:rPr>
        <w:t xml:space="preserve">8. </w:t>
      </w:r>
      <w:r>
        <w:rPr>
          <w:rFonts w:ascii="Arial" w:cs="Arial" w:eastAsia="Arial" w:hAnsi="Arial"/>
          <w:b w:val="false"/>
          <w:bCs w:val="false"/>
          <w:i w:val="false"/>
          <w:iCs w:val="false"/>
          <w:sz w:val="22"/>
          <w:szCs w:val="22"/>
        </w:rPr>
        <w:t xml:space="preserve">Bom conhecimento da administração e da gestão pública federal brasileira, em especial no que concerne aos instrumentos de política industrial, de inovação e de contratações públicas em tecnologia, bem como aos marcos da Nova Indústria Brasil (NIB), Estratégia Federal de Governo Digital (EFGD) e Estratégia Nacional de Governo Digital (ENGD).</w:t>
      </w:r>
    </w:p>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Disposições aplicáveis a todas as pessoas candidatas:</w:t>
      </w:r>
    </w:p>
    <w:p>
      <w:pPr>
        <w:spacing w:after="120" w:before="60" w:line="300"/>
        <w:jc w:val="both"/>
      </w:pPr>
      <w:r>
        <w:rPr>
          <w:rFonts w:ascii="Arial" w:cs="Arial" w:eastAsia="Arial" w:hAnsi="Arial"/>
          <w:b w:val="false"/>
          <w:bCs w:val="false"/>
          <w:i w:val="false"/>
          <w:iCs w:val="false"/>
          <w:sz w:val="22"/>
          <w:szCs w:val="22"/>
        </w:rPr>
        <w:t xml:space="preserve">1. Os títulos obtidos no exterior só serão aceitos se, e somente se, forem validados em conformidade com a legislação vigente.</w:t>
      </w:r>
    </w:p>
    <w:p>
      <w:pPr>
        <w:spacing w:after="120" w:before="60" w:line="300"/>
        <w:jc w:val="both"/>
      </w:pPr>
      <w:r>
        <w:rPr>
          <w:rFonts w:ascii="Arial" w:cs="Arial" w:eastAsia="Arial" w:hAnsi="Arial"/>
          <w:b w:val="false"/>
          <w:bCs w:val="false"/>
          <w:i w:val="false"/>
          <w:iCs w:val="false"/>
          <w:sz w:val="22"/>
          <w:szCs w:val="22"/>
        </w:rPr>
        <w:t xml:space="preserve">2. A comprovação das experiências solicitadas dar-se-á por meio das atividades profissionais ou acadêmicas relatadas no currículo da pessoa candidata, tais como: textos ou artigos científicos publicados, autoria ou coautoria de capítulos de livros, dissertação ou tese defendida, registro de experiência em projetos de pesquisa, em carteira de trabalho ou outros.</w:t>
      </w:r>
    </w:p>
    <w:p>
      <w:pPr>
        <w:spacing w:after="120" w:before="60" w:line="300"/>
        <w:jc w:val="both"/>
      </w:pPr>
      <w:r>
        <w:rPr>
          <w:rFonts w:ascii="Arial" w:cs="Arial" w:eastAsia="Arial" w:hAnsi="Arial"/>
          <w:b w:val="false"/>
          <w:bCs w:val="false"/>
          <w:i w:val="false"/>
          <w:iCs w:val="false"/>
          <w:sz w:val="22"/>
          <w:szCs w:val="22"/>
        </w:rPr>
        <w:t xml:space="preserve">3. Os documentos serão analisados no momento da implementação da bolsa, podendo esta não ser implementada caso não cumpra os requisitos deste edital.</w:t>
      </w:r>
    </w:p>
    <w:p>
      <w:pPr>
        <w:spacing w:after="120" w:before="60" w:line="300"/>
        <w:jc w:val="both"/>
      </w:pPr>
      <w:r>
        <w:rPr>
          <w:rFonts w:ascii="Arial" w:cs="Arial" w:eastAsia="Arial" w:hAnsi="Arial"/>
          <w:b w:val="false"/>
          <w:bCs w:val="false"/>
          <w:i w:val="false"/>
          <w:iCs w:val="false"/>
          <w:sz w:val="22"/>
          <w:szCs w:val="22"/>
        </w:rPr>
        <w:t xml:space="preserve">4. Solicita-se às pessoas candidatas atualizarem e adaptarem seus currículos, ressaltando os pontos requeridos neste edital.</w:t>
      </w:r>
    </w:p>
    <w:p>
      <w:pPr>
        <w:spacing w:after="120" w:before="60" w:line="300"/>
        <w:jc w:val="both"/>
      </w:pPr>
      <w:r>
        <w:rPr>
          <w:rFonts w:ascii="Arial" w:cs="Arial" w:eastAsia="Arial" w:hAnsi="Arial"/>
          <w:b w:val="false"/>
          <w:bCs w:val="false"/>
          <w:i w:val="false"/>
          <w:iCs w:val="false"/>
          <w:sz w:val="22"/>
          <w:szCs w:val="22"/>
        </w:rPr>
        <w:t xml:space="preserve">5. A existência de algum tipo de inadimplência por parte da pessoa candidata selecionada junto à Administração Pública Federal, direta ou indireta, constituirá fator impeditivo para a concessão da bolsa de pesquisa.</w:t>
      </w:r>
    </w:p>
    <w:p>
      <w:pPr>
        <w:spacing w:after="120" w:before="60" w:line="300"/>
        <w:jc w:val="both"/>
      </w:pPr>
      <w:r>
        <w:rPr>
          <w:rFonts w:ascii="Arial" w:cs="Arial" w:eastAsia="Arial" w:hAnsi="Arial"/>
          <w:b w:val="false"/>
          <w:bCs w:val="false"/>
          <w:i w:val="false"/>
          <w:iCs w:val="false"/>
          <w:sz w:val="22"/>
          <w:szCs w:val="22"/>
        </w:rPr>
        <w:t xml:space="preserve">6. A acumulação da bolsa do IPEA com quaisquer outras bolsas, mesmo aquelas vinculadas a programa de pós-graduação, não será permitida.</w:t>
      </w:r>
    </w:p>
    <w:p>
      <w:pPr>
        <w:spacing w:after="120" w:before="60" w:line="300"/>
        <w:jc w:val="both"/>
      </w:pPr>
      <w:r>
        <w:rPr>
          <w:rFonts w:ascii="Arial" w:cs="Arial" w:eastAsia="Arial" w:hAnsi="Arial"/>
          <w:b w:val="false"/>
          <w:bCs w:val="false"/>
          <w:i w:val="false"/>
          <w:iCs w:val="false"/>
          <w:sz w:val="22"/>
          <w:szCs w:val="22"/>
        </w:rPr>
        <w:t xml:space="preserve">7. A pessoa candidata poderá inscrever-se em apenas uma das duas seleções desta chamada. Inscrições simultâneas nas duas seleções implicarão a desclassificação da pessoa candidata em ambas.</w:t>
      </w:r>
    </w:p>
    <w:p>
      <w:pPr>
        <w:pStyle w:val="Heading1"/>
        <w:spacing w:after="160" w:before="320"/>
      </w:pPr>
      <w:r>
        <w:rPr>
          <w:rFonts w:ascii="Arial" w:cs="Arial" w:eastAsia="Arial" w:hAnsi="Arial"/>
          <w:b/>
          <w:bCs/>
          <w:i/>
          <w:iCs/>
          <w:sz w:val="24"/>
          <w:szCs w:val="24"/>
        </w:rPr>
        <w:t xml:space="preserve">9. CRITÉRIOS DE JULGAMENTO</w:t>
      </w:r>
    </w:p>
    <w:p>
      <w:pPr>
        <w:spacing w:after="120" w:before="60" w:line="300"/>
        <w:jc w:val="both"/>
      </w:pPr>
      <w:r>
        <w:rPr>
          <w:rFonts w:ascii="Arial" w:cs="Arial" w:eastAsia="Arial" w:hAnsi="Arial"/>
          <w:b w:val="false"/>
          <w:bCs w:val="false"/>
          <w:i w:val="false"/>
          <w:iCs w:val="false"/>
          <w:sz w:val="22"/>
          <w:szCs w:val="22"/>
        </w:rPr>
        <w:t xml:space="preserve">Os critérios de julgamento, distintos para cada seleção, estão descritos nos quadros a seguir.</w:t>
      </w:r>
    </w:p>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9.1 Para a Seleção 1 — Doutor Bolsista em Ciência da Computação:</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rPr>
          <w:tblHeader/>
        </w:trPr>
        <w:tc>
          <w:tcPr>
            <w:tcW w:type="dxa" w:w="800"/>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spacing w:after="40" w:before="40" w:line="280"/>
              <w:jc w:val="center"/>
            </w:pPr>
            <w:r>
              <w:rPr>
                <w:rFonts w:ascii="Arial" w:cs="Arial" w:eastAsia="Arial" w:hAnsi="Arial"/>
                <w:b/>
                <w:bCs/>
                <w:i/>
                <w:iCs/>
                <w:sz w:val="22"/>
                <w:szCs w:val="22"/>
              </w:rPr>
              <w:t xml:space="preserve">ITEM</w:t>
            </w:r>
          </w:p>
        </w:tc>
        <w:tc>
          <w:tcPr>
            <w:tcW w:type="dxa" w:w="7560"/>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spacing w:after="40" w:before="40" w:line="280"/>
              <w:jc w:val="center"/>
            </w:pPr>
            <w:r>
              <w:rPr>
                <w:rFonts w:ascii="Arial" w:cs="Arial" w:eastAsia="Arial" w:hAnsi="Arial"/>
                <w:b/>
                <w:bCs/>
                <w:i/>
                <w:iCs/>
                <w:sz w:val="22"/>
                <w:szCs w:val="22"/>
              </w:rPr>
              <w:t xml:space="preserve">CRITÉRIO DE AVALIAÇÃO</w:t>
            </w:r>
          </w:p>
        </w:tc>
        <w:tc>
          <w:tcPr>
            <w:tcW w:type="dxa" w:w="1000"/>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spacing w:after="40" w:before="40" w:line="280"/>
              <w:jc w:val="center"/>
            </w:pPr>
            <w:r>
              <w:rPr>
                <w:rFonts w:ascii="Arial" w:cs="Arial" w:eastAsia="Arial" w:hAnsi="Arial"/>
                <w:b/>
                <w:bCs/>
                <w:i/>
                <w:iCs/>
                <w:sz w:val="22"/>
                <w:szCs w:val="22"/>
              </w:rPr>
              <w:t xml:space="preserve">PESO</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A</w:t>
            </w:r>
          </w:p>
        </w:tc>
        <w:tc>
          <w:tcPr>
            <w:tcW w:type="dxa" w:w="75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Experiência profissional, de pesquisa ou docência em áreas relacionadas a desenvolvimento de software, infraestrutura de dados, computação em nuvem, cibersegurança, criptografia, identidade digital ou temas afins.</w:t>
            </w:r>
          </w:p>
        </w:tc>
        <w:tc>
          <w:tcPr>
            <w:tcW w:type="dxa" w:w="1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3</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B</w:t>
            </w:r>
          </w:p>
        </w:tc>
        <w:tc>
          <w:tcPr>
            <w:tcW w:type="dxa" w:w="75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Produção acadêmica comprovada por meio de cópias de artigos publicados em revistas e conferências com revisão de pares, bem como tese de doutorado e dissertação de mestrado, com foco em arquitetura de sistemas, infraestrutura digital, segurança, identidade digital ou temas correlatos à transformação digital do Estado (informar através de link no currículo se em formato aberto ou anexar caso contrário).</w:t>
            </w:r>
          </w:p>
        </w:tc>
        <w:tc>
          <w:tcPr>
            <w:tcW w:type="dxa" w:w="1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2</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C</w:t>
            </w:r>
          </w:p>
        </w:tc>
        <w:tc>
          <w:tcPr>
            <w:tcW w:type="dxa" w:w="75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Coerência da carta de intenção, considerando a pertinência da trajetória profissional e/ou acadêmica (dentro do tema) e das reflexões apresentadas em função das atribuições da bolsa e dos objetivos específicos do projeto.</w:t>
            </w:r>
          </w:p>
        </w:tc>
        <w:tc>
          <w:tcPr>
            <w:tcW w:type="dxa" w:w="1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3</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D</w:t>
            </w:r>
          </w:p>
        </w:tc>
        <w:tc>
          <w:tcPr>
            <w:tcW w:type="dxa" w:w="75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Entrevista.</w:t>
            </w:r>
          </w:p>
        </w:tc>
        <w:tc>
          <w:tcPr>
            <w:tcW w:type="dxa" w:w="1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2</w:t>
            </w:r>
          </w:p>
        </w:tc>
      </w:tr>
      <w:tr>
        <w:tc>
          <w:tcPr>
            <w:tcW w:type="dxa" w:w="80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Total</w:t>
            </w:r>
          </w:p>
        </w:tc>
        <w:tc>
          <w:tcPr>
            <w:tcW w:type="dxa" w:w="756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A + B + C + D</w:t>
            </w:r>
          </w:p>
        </w:tc>
        <w:tc>
          <w:tcPr>
            <w:tcW w:type="dxa" w:w="100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10</w:t>
            </w:r>
          </w:p>
        </w:tc>
      </w:tr>
    </w:tbl>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9.2 Para a Seleção 2 — Doutor Bolsista em Economia:</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rPr>
          <w:tblHeader/>
        </w:trPr>
        <w:tc>
          <w:tcPr>
            <w:tcW w:type="dxa" w:w="800"/>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spacing w:after="40" w:before="40" w:line="280"/>
              <w:jc w:val="center"/>
            </w:pPr>
            <w:r>
              <w:rPr>
                <w:rFonts w:ascii="Arial" w:cs="Arial" w:eastAsia="Arial" w:hAnsi="Arial"/>
                <w:b/>
                <w:bCs/>
                <w:i/>
                <w:iCs/>
                <w:sz w:val="22"/>
                <w:szCs w:val="22"/>
              </w:rPr>
              <w:t xml:space="preserve">ITEM</w:t>
            </w:r>
          </w:p>
        </w:tc>
        <w:tc>
          <w:tcPr>
            <w:tcW w:type="dxa" w:w="7560"/>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spacing w:after="40" w:before="40" w:line="280"/>
              <w:jc w:val="center"/>
            </w:pPr>
            <w:r>
              <w:rPr>
                <w:rFonts w:ascii="Arial" w:cs="Arial" w:eastAsia="Arial" w:hAnsi="Arial"/>
                <w:b/>
                <w:bCs/>
                <w:i/>
                <w:iCs/>
                <w:sz w:val="22"/>
                <w:szCs w:val="22"/>
              </w:rPr>
              <w:t xml:space="preserve">CRITÉRIO DE AVALIAÇÃO</w:t>
            </w:r>
          </w:p>
        </w:tc>
        <w:tc>
          <w:tcPr>
            <w:tcW w:type="dxa" w:w="1000"/>
            <w:tcBorders>
              <w:top w:val="single" w:color="808080" w:sz="4"/>
              <w:left w:val="single" w:color="808080" w:sz="4"/>
              <w:bottom w:val="single" w:color="808080" w:sz="4"/>
              <w:right w:val="single" w:color="808080" w:sz="4"/>
            </w:tcBorders>
            <w:shd w:fill="D5E8F0" w:val="clear"/>
            <w:tcMar>
              <w:top w:type="dxa" w:w="100"/>
              <w:left w:type="dxa" w:w="140"/>
              <w:bottom w:type="dxa" w:w="100"/>
              <w:right w:type="dxa" w:w="140"/>
            </w:tcMar>
            <w:vAlign w:val="center"/>
          </w:tcPr>
          <w:p>
            <w:pPr>
              <w:spacing w:after="40" w:before="40" w:line="280"/>
              <w:jc w:val="center"/>
            </w:pPr>
            <w:r>
              <w:rPr>
                <w:rFonts w:ascii="Arial" w:cs="Arial" w:eastAsia="Arial" w:hAnsi="Arial"/>
                <w:b/>
                <w:bCs/>
                <w:i/>
                <w:iCs/>
                <w:sz w:val="22"/>
                <w:szCs w:val="22"/>
              </w:rPr>
              <w:t xml:space="preserve">PESO</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A</w:t>
            </w:r>
          </w:p>
        </w:tc>
        <w:tc>
          <w:tcPr>
            <w:tcW w:type="dxa" w:w="75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Experiência profissional, de pesquisa ou docência em áreas relacionadas à economia da tecnologia, economia da inovação, política industrial, dependência tecnológica, aquisições públicas em tecnologia, regulação econômica ou temas afins.</w:t>
            </w:r>
          </w:p>
        </w:tc>
        <w:tc>
          <w:tcPr>
            <w:tcW w:type="dxa" w:w="1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2</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B</w:t>
            </w:r>
          </w:p>
        </w:tc>
        <w:tc>
          <w:tcPr>
            <w:tcW w:type="dxa" w:w="75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Produção acadêmica comprovada por meio de cópias de artigos publicados em revistas com revisão de pares, bem como tese de doutorado e dissertação de mestrado, com foco em economia da tecnologia, soberania digital, política industrial, regulação econômica ou temas correlatos (informar através de link no currículo se em formato aberto ou anexar caso contrário).</w:t>
            </w:r>
          </w:p>
        </w:tc>
        <w:tc>
          <w:tcPr>
            <w:tcW w:type="dxa" w:w="1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3</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C</w:t>
            </w:r>
          </w:p>
        </w:tc>
        <w:tc>
          <w:tcPr>
            <w:tcW w:type="dxa" w:w="75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Coerência da carta de intenção, considerando a pertinência da trajetória profissional e/ou acadêmica (dentro do tema) e das reflexões apresentadas em função das atribuições da bolsa e dos objetivos específicos do projeto.</w:t>
            </w:r>
          </w:p>
        </w:tc>
        <w:tc>
          <w:tcPr>
            <w:tcW w:type="dxa" w:w="1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3</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D</w:t>
            </w:r>
          </w:p>
        </w:tc>
        <w:tc>
          <w:tcPr>
            <w:tcW w:type="dxa" w:w="756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left"/>
            </w:pPr>
            <w:r>
              <w:rPr>
                <w:rFonts w:ascii="Arial" w:cs="Arial" w:eastAsia="Arial" w:hAnsi="Arial"/>
                <w:b w:val="false"/>
                <w:bCs w:val="false"/>
                <w:i w:val="false"/>
                <w:iCs w:val="false"/>
                <w:sz w:val="22"/>
                <w:szCs w:val="22"/>
              </w:rPr>
              <w:t xml:space="preserve">Entrevista.</w:t>
            </w:r>
          </w:p>
        </w:tc>
        <w:tc>
          <w:tcPr>
            <w:tcW w:type="dxa" w:w="1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40" w:before="40" w:line="280"/>
              <w:jc w:val="center"/>
            </w:pPr>
            <w:r>
              <w:rPr>
                <w:rFonts w:ascii="Arial" w:cs="Arial" w:eastAsia="Arial" w:hAnsi="Arial"/>
                <w:b w:val="false"/>
                <w:bCs w:val="false"/>
                <w:i w:val="false"/>
                <w:iCs w:val="false"/>
                <w:sz w:val="22"/>
                <w:szCs w:val="22"/>
              </w:rPr>
              <w:t xml:space="preserve">2</w:t>
            </w:r>
          </w:p>
        </w:tc>
      </w:tr>
      <w:tr>
        <w:tc>
          <w:tcPr>
            <w:tcW w:type="dxa" w:w="80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Total</w:t>
            </w:r>
          </w:p>
        </w:tc>
        <w:tc>
          <w:tcPr>
            <w:tcW w:type="dxa" w:w="756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A + B + C + D</w:t>
            </w:r>
          </w:p>
        </w:tc>
        <w:tc>
          <w:tcPr>
            <w:tcW w:type="dxa" w:w="1000"/>
            <w:tcBorders>
              <w:top w:val="single" w:color="808080" w:sz="4"/>
              <w:left w:val="single" w:color="808080" w:sz="4"/>
              <w:bottom w:val="single" w:color="808080" w:sz="4"/>
              <w:right w:val="single" w:color="808080" w:sz="4"/>
            </w:tcBorders>
            <w:shd w:fill="EAF2F7" w:val="clear"/>
            <w:tcMar>
              <w:top w:type="dxa" w:w="100"/>
              <w:left w:type="dxa" w:w="140"/>
              <w:bottom w:type="dxa" w:w="100"/>
              <w:right w:type="dxa" w:w="140"/>
            </w:tcMar>
            <w:vAlign w:val="center"/>
          </w:tcPr>
          <w:p>
            <w:pPr>
              <w:spacing w:after="40" w:before="40" w:line="280"/>
              <w:jc w:val="center"/>
            </w:pPr>
            <w:r>
              <w:rPr>
                <w:rFonts w:ascii="Arial" w:cs="Arial" w:eastAsia="Arial" w:hAnsi="Arial"/>
                <w:b/>
                <w:bCs/>
                <w:i w:val="false"/>
                <w:iCs w:val="false"/>
                <w:sz w:val="22"/>
                <w:szCs w:val="22"/>
              </w:rPr>
              <w:t xml:space="preserve">10</w:t>
            </w:r>
          </w:p>
        </w:tc>
      </w:tr>
    </w:tbl>
    <w:p>
      <w:r>
        <w:rPr>
          <w:rFonts w:ascii="Arial" w:cs="Arial" w:eastAsia="Arial" w:hAnsi="Arial"/>
          <w:sz w:val="22"/>
          <w:szCs w:val="22"/>
        </w:rPr>
        <w:t xml:space="preserve"/>
      </w:r>
    </w:p>
    <w:p>
      <w:pPr>
        <w:spacing w:after="120" w:before="60" w:line="300"/>
        <w:jc w:val="both"/>
      </w:pPr>
      <w:r>
        <w:rPr>
          <w:rFonts w:ascii="Arial" w:cs="Arial" w:eastAsia="Arial" w:hAnsi="Arial"/>
          <w:b/>
          <w:bCs/>
          <w:i w:val="false"/>
          <w:iCs w:val="false"/>
          <w:sz w:val="22"/>
          <w:szCs w:val="22"/>
        </w:rPr>
        <w:t xml:space="preserve">Observações:</w:t>
      </w:r>
    </w:p>
    <w:p>
      <w:pPr>
        <w:spacing w:after="120" w:before="60" w:line="300"/>
        <w:jc w:val="both"/>
      </w:pPr>
      <w:r>
        <w:rPr>
          <w:rFonts w:ascii="Arial" w:cs="Arial" w:eastAsia="Arial" w:hAnsi="Arial"/>
          <w:b w:val="false"/>
          <w:bCs w:val="false"/>
          <w:i w:val="false"/>
          <w:iCs w:val="false"/>
          <w:sz w:val="22"/>
          <w:szCs w:val="22"/>
        </w:rPr>
        <w:t xml:space="preserve">a) Para fins de pontuação do item A em ambas as seleções, a experiência profissional, de pesquisa e de docência da pessoa candidata será considerada de forma agregada, atingindo a pontuação máxima ao se completarem 15 (quinze) anos de atuação comprovada em áreas pertinentes ao objeto da Chamada, com pontuação proporcional para períodos inferiores.</w:t>
      </w:r>
    </w:p>
    <w:p>
      <w:pPr>
        <w:spacing w:after="120" w:before="60" w:line="300"/>
        <w:jc w:val="both"/>
      </w:pPr>
      <w:r>
        <w:rPr>
          <w:rFonts w:ascii="Arial" w:cs="Arial" w:eastAsia="Arial" w:hAnsi="Arial"/>
          <w:b w:val="false"/>
          <w:bCs w:val="false"/>
          <w:i w:val="false"/>
          <w:iCs w:val="false"/>
          <w:sz w:val="22"/>
          <w:szCs w:val="22"/>
        </w:rPr>
        <w:t xml:space="preserve">b) A critério da Comissão Julgadora poderão ser entrevistadas as pessoas candidatas com melhores notas na combinação dos itens de A a C, em cada seleção, sendo convocadas para a entrevista a quantidade de pessoas candidatas que a Comissão julgar necessária para o preenchimento da vaga e do cadastro reserva da respectiva seleção.</w:t>
      </w:r>
    </w:p>
    <w:p>
      <w:pPr>
        <w:spacing w:after="120" w:before="60" w:line="300"/>
        <w:jc w:val="both"/>
      </w:pPr>
      <w:r>
        <w:rPr>
          <w:rFonts w:ascii="Arial" w:cs="Arial" w:eastAsia="Arial" w:hAnsi="Arial"/>
          <w:b w:val="false"/>
          <w:bCs w:val="false"/>
          <w:i w:val="false"/>
          <w:iCs w:val="false"/>
          <w:sz w:val="22"/>
          <w:szCs w:val="22"/>
        </w:rPr>
        <w:t xml:space="preserve">c) Poderá, a critério da Comissão Julgadora, ser desclassificada a pessoa candidata que obtiver nota inferior a 50% do total proposto nos itens de A a D de sua seleção.</w:t>
      </w:r>
    </w:p>
    <w:p>
      <w:pPr>
        <w:spacing w:after="120" w:before="60" w:line="300"/>
        <w:jc w:val="both"/>
      </w:pPr>
      <w:r>
        <w:rPr>
          <w:rFonts w:ascii="Arial" w:cs="Arial" w:eastAsia="Arial" w:hAnsi="Arial"/>
          <w:b w:val="false"/>
          <w:bCs w:val="false"/>
          <w:i w:val="false"/>
          <w:iCs w:val="false"/>
          <w:sz w:val="22"/>
          <w:szCs w:val="22"/>
        </w:rPr>
        <w:t xml:space="preserve">d) Poderá, a critério da Comissão Julgadora, desclassificar a pessoa candidata que obtiver nota 0 (zero) em qualquer um dos critérios de julgamento.</w:t>
      </w:r>
    </w:p>
    <w:p>
      <w:pPr>
        <w:spacing w:after="120" w:before="60" w:line="300"/>
        <w:jc w:val="both"/>
      </w:pPr>
      <w:r>
        <w:rPr>
          <w:rFonts w:ascii="Arial" w:cs="Arial" w:eastAsia="Arial" w:hAnsi="Arial"/>
          <w:b w:val="false"/>
          <w:bCs w:val="false"/>
          <w:i w:val="false"/>
          <w:iCs w:val="false"/>
          <w:sz w:val="22"/>
          <w:szCs w:val="22"/>
        </w:rPr>
        <w:t xml:space="preserve">e) Em caso de empate entre as pessoas candidatas, será utilizado como critério de desempate a idade informada no SISBOLSAS, dando-se preferência para a pessoa candidata com maior idade.</w:t>
      </w:r>
    </w:p>
    <w:p>
      <w:pPr>
        <w:spacing w:after="120" w:before="60" w:line="300"/>
        <w:jc w:val="both"/>
      </w:pPr>
      <w:r>
        <w:rPr>
          <w:rFonts w:ascii="Arial" w:cs="Arial" w:eastAsia="Arial" w:hAnsi="Arial"/>
          <w:b w:val="false"/>
          <w:bCs w:val="false"/>
          <w:i w:val="false"/>
          <w:iCs w:val="false"/>
          <w:sz w:val="22"/>
          <w:szCs w:val="22"/>
        </w:rPr>
        <w:t xml:space="preserve">f) As classificações são independentes entre as duas seleções, com listas próprias de aprovados e cadastro reserva por seleção.</w:t>
      </w:r>
    </w:p>
    <w:p>
      <w:pPr>
        <w:pStyle w:val="Heading1"/>
        <w:spacing w:after="160" w:before="320"/>
      </w:pPr>
      <w:r>
        <w:rPr>
          <w:rFonts w:ascii="Arial" w:cs="Arial" w:eastAsia="Arial" w:hAnsi="Arial"/>
          <w:b/>
          <w:bCs/>
          <w:i/>
          <w:iCs/>
          <w:sz w:val="24"/>
          <w:szCs w:val="24"/>
        </w:rPr>
        <w:t xml:space="preserve">10. COMISSÃO JULGADORA:</w:t>
      </w:r>
    </w:p>
    <w:p>
      <w:pPr>
        <w:spacing w:after="120" w:before="60" w:line="300"/>
        <w:jc w:val="both"/>
      </w:pPr>
      <w:r>
        <w:rPr>
          <w:rFonts w:ascii="Arial" w:cs="Arial" w:eastAsia="Arial" w:hAnsi="Arial"/>
          <w:b w:val="false"/>
          <w:bCs w:val="false"/>
          <w:i w:val="false"/>
          <w:iCs w:val="false"/>
          <w:sz w:val="22"/>
          <w:szCs w:val="22"/>
        </w:rPr>
        <w:t xml:space="preserve">Presidente: Denise do Carmo Direito</w:t>
      </w:r>
    </w:p>
    <w:p>
      <w:pPr>
        <w:spacing w:after="120" w:before="60" w:line="300"/>
        <w:jc w:val="both"/>
      </w:pPr>
      <w:r>
        <w:rPr>
          <w:rFonts w:ascii="Arial" w:cs="Arial" w:eastAsia="Arial" w:hAnsi="Arial"/>
          <w:b w:val="false"/>
          <w:bCs w:val="false"/>
          <w:i w:val="false"/>
          <w:iCs w:val="false"/>
          <w:sz w:val="22"/>
          <w:szCs w:val="22"/>
        </w:rPr>
        <w:t xml:space="preserve">Membro 1: Lucas Freire Silva</w:t>
      </w:r>
    </w:p>
    <w:p>
      <w:pPr>
        <w:spacing w:after="120" w:before="60" w:line="300"/>
        <w:jc w:val="both"/>
      </w:pPr>
      <w:r>
        <w:rPr>
          <w:rFonts w:ascii="Arial" w:cs="Arial" w:eastAsia="Arial" w:hAnsi="Arial"/>
          <w:b w:val="false"/>
          <w:bCs w:val="false"/>
          <w:i w:val="false"/>
          <w:iCs w:val="false"/>
          <w:sz w:val="22"/>
          <w:szCs w:val="22"/>
        </w:rPr>
        <w:t xml:space="preserve">Membro 2: Tulio Chiarini</w:t>
      </w:r>
    </w:p>
    <w:p>
      <w:pPr>
        <w:spacing w:after="120" w:before="60" w:line="300"/>
        <w:jc w:val="both"/>
      </w:pPr>
      <w:r>
        <w:rPr>
          <w:rFonts w:ascii="Arial" w:cs="Arial" w:eastAsia="Arial" w:hAnsi="Arial"/>
          <w:b w:val="false"/>
          <w:bCs w:val="false"/>
          <w:i w:val="false"/>
          <w:iCs w:val="false"/>
          <w:sz w:val="22"/>
          <w:szCs w:val="22"/>
        </w:rPr>
        <w:t xml:space="preserve">Suplente: Antônio de Pádua de Lima Brito</w:t>
      </w:r>
    </w:p>
    <w:p>
      <w:pPr>
        <w:pStyle w:val="Heading1"/>
        <w:spacing w:after="160" w:before="320"/>
      </w:pPr>
      <w:r>
        <w:rPr>
          <w:rFonts w:ascii="Arial" w:cs="Arial" w:eastAsia="Arial" w:hAnsi="Arial"/>
          <w:b/>
          <w:bCs/>
          <w:i/>
          <w:iCs/>
          <w:sz w:val="24"/>
          <w:szCs w:val="24"/>
        </w:rPr>
        <w:t xml:space="preserve">11. FONTE DE RECURSO:</w:t>
      </w:r>
    </w:p>
    <w:p>
      <w:pPr>
        <w:spacing w:after="120" w:before="60" w:line="300"/>
        <w:jc w:val="both"/>
      </w:pPr>
      <w:r>
        <w:rPr>
          <w:rFonts w:ascii="Arial" w:cs="Arial" w:eastAsia="Arial" w:hAnsi="Arial"/>
          <w:b w:val="false"/>
          <w:bCs w:val="false"/>
          <w:i w:val="false"/>
          <w:iCs w:val="false"/>
          <w:sz w:val="22"/>
          <w:szCs w:val="22"/>
        </w:rPr>
        <w:t xml:space="preserve">Recursos próprios do IPEA.</w:t>
      </w:r>
    </w:p>
    <w:p>
      <w:pPr>
        <w:pStyle w:val="Heading1"/>
        <w:spacing w:after="160" w:before="320"/>
      </w:pPr>
      <w:r>
        <w:rPr>
          <w:rFonts w:ascii="Arial" w:cs="Arial" w:eastAsia="Arial" w:hAnsi="Arial"/>
          <w:b/>
          <w:bCs/>
          <w:i/>
          <w:iCs/>
          <w:sz w:val="24"/>
          <w:szCs w:val="24"/>
        </w:rPr>
        <w:t xml:space="preserve">12. OUTRAS INFORMAÇÕES RELEVANTES</w:t>
      </w:r>
    </w:p>
    <w:p>
      <w:pPr>
        <w:spacing w:after="120" w:before="60" w:line="300"/>
        <w:jc w:val="both"/>
      </w:pPr>
      <w:r>
        <w:rPr>
          <w:rFonts w:ascii="Arial" w:cs="Arial" w:eastAsia="Arial" w:hAnsi="Arial"/>
          <w:b w:val="false"/>
          <w:bCs w:val="false"/>
          <w:i w:val="false"/>
          <w:iCs w:val="false"/>
          <w:sz w:val="22"/>
          <w:szCs w:val="22"/>
        </w:rPr>
        <w:t xml:space="preserve">A presente chamada vincula-se ao projeto de pesquisa estratégico da COGIT/DIEST “Novas soluções para o governo digital: Soberania Digital, Inteligência Artificial e Infraestruturas Públicas Digitais”, que investiga as condições de autonomia tecnológica do Estado brasileiro no desenvolvimento de novas tecnologias (como a IA) e na implementação de novos arranjos para a oferta de serviços públicos, como as Infraestruturas Públicas Digitais (DPI), articulando-se com a Nova Indústria Brasil (NIB) e com as Estratégias Federal de Governo Digital (EFGD) e Nacional de Governo Digital (ENGD).</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pPr>
        <w:spacing w:after="120" w:before="60" w:line="300"/>
        <w:jc w:val="center"/>
      </w:pPr>
      <w:r>
        <w:rPr>
          <w:rFonts w:ascii="Arial" w:cs="Arial" w:eastAsia="Arial" w:hAnsi="Arial"/>
          <w:b/>
          <w:bCs/>
          <w:i w:val="false"/>
          <w:iCs w:val="false"/>
          <w:sz w:val="22"/>
          <w:szCs w:val="22"/>
        </w:rPr>
        <w:t xml:space="preserve">LUSENI AQUINO</w:t>
      </w:r>
    </w:p>
    <w:p>
      <w:pPr>
        <w:spacing w:after="120" w:before="60" w:line="300"/>
        <w:jc w:val="center"/>
      </w:pPr>
      <w:r>
        <w:rPr>
          <w:rFonts w:ascii="Arial" w:cs="Arial" w:eastAsia="Arial" w:hAnsi="Arial"/>
          <w:b/>
          <w:bCs/>
          <w:i w:val="false"/>
          <w:iCs w:val="false"/>
          <w:sz w:val="22"/>
          <w:szCs w:val="22"/>
        </w:rPr>
        <w:t xml:space="preserve">Diretora da DIEST — Diretoria de Estudos e Políticas do Estado, das Instituições e da Democracia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Referência — Chamada PIPA Soberania Digital</dc:title>
  <dc:creator>IPEA/COGIT/DIEST</dc:creator>
  <cp:lastModifiedBy>Un-named</cp:lastModifiedBy>
  <cp:revision>1</cp:revision>
  <dcterms:created xsi:type="dcterms:W3CDTF">2026-05-29T22:28:25.416Z</dcterms:created>
  <dcterms:modified xsi:type="dcterms:W3CDTF">2026-05-29T22:28:25.416Z</dcterms:modified>
</cp:coreProperties>
</file>

<file path=docProps/custom.xml><?xml version="1.0" encoding="utf-8"?>
<Properties xmlns="http://schemas.openxmlformats.org/officeDocument/2006/custom-properties" xmlns:vt="http://schemas.openxmlformats.org/officeDocument/2006/docPropsVTypes"/>
</file>