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06ECE" w14:textId="77777777" w:rsidR="00D70C0C" w:rsidRDefault="00D70C0C" w:rsidP="00D70C0C">
      <w:r>
        <w:t>Financiamento de Veículos BV — Transparência na oferta</w:t>
      </w:r>
    </w:p>
    <w:p w14:paraId="0A07A29D" w14:textId="77777777" w:rsidR="00D70C0C" w:rsidRDefault="00D70C0C" w:rsidP="00D70C0C"/>
    <w:p w14:paraId="61F62957" w14:textId="77777777" w:rsidR="00D70C0C" w:rsidRDefault="00D70C0C" w:rsidP="00D70C0C">
      <w:r>
        <w:t>Texto:</w:t>
      </w:r>
    </w:p>
    <w:p w14:paraId="3B9CD34F" w14:textId="77777777" w:rsidR="00D70C0C" w:rsidRDefault="00D70C0C" w:rsidP="00D70C0C">
      <w:r>
        <w:t>Financiamento para veículos novos e seminovos. Exemplo representativo: veículo R$ 60.000,00, entrada 20% (R$ 12.000,00), saldo R$ 48.000,00 em 48 meses, parcela aproximada R$ 1.400,00, taxa nominal 1,2% ao mês. CET estimado anual 18,3%.</w:t>
      </w:r>
    </w:p>
    <w:p w14:paraId="0A635C56" w14:textId="77777777" w:rsidR="00D70C0C" w:rsidRDefault="00D70C0C" w:rsidP="00D70C0C"/>
    <w:p w14:paraId="20DA1288" w14:textId="77777777" w:rsidR="00D70C0C" w:rsidRDefault="00D70C0C" w:rsidP="00D70C0C">
      <w:r>
        <w:t>Condições:</w:t>
      </w:r>
    </w:p>
    <w:p w14:paraId="6905A33A" w14:textId="77777777" w:rsidR="00D70C0C" w:rsidRDefault="00D70C0C" w:rsidP="00D70C0C">
      <w:r>
        <w:t>- Valores ilustrativos sujeitos à análise de crédito.</w:t>
      </w:r>
    </w:p>
    <w:p w14:paraId="1853CE46" w14:textId="77777777" w:rsidR="00D70C0C" w:rsidRDefault="00D70C0C" w:rsidP="00D70C0C">
      <w:r>
        <w:t>- Informe-se sobre IOF, tarifas de cadastro, seguro e demais encargos.</w:t>
      </w:r>
    </w:p>
    <w:p w14:paraId="621D23FA" w14:textId="77777777" w:rsidR="00D70C0C" w:rsidRDefault="00D70C0C" w:rsidP="00D70C0C">
      <w:r>
        <w:t>- Contrato com cláusulas sobre inadimplência e garantias (alienação fiduciária).</w:t>
      </w:r>
    </w:p>
    <w:p w14:paraId="12FA11C7" w14:textId="77777777" w:rsidR="00D70C0C" w:rsidRDefault="00D70C0C" w:rsidP="00D70C0C"/>
    <w:p w14:paraId="1E88BE9C" w14:textId="77777777" w:rsidR="00D70C0C" w:rsidRDefault="00D70C0C" w:rsidP="00D70C0C">
      <w:r>
        <w:t>Atendimento e simulação:</w:t>
      </w:r>
    </w:p>
    <w:p w14:paraId="61A1CBA3" w14:textId="7F052CCD" w:rsidR="00FA21A7" w:rsidRDefault="00D70C0C" w:rsidP="00D70C0C">
      <w:r>
        <w:t>Agência BV ou simule online.</w:t>
      </w:r>
    </w:p>
    <w:sectPr w:rsidR="00FA2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0C"/>
    <w:rsid w:val="000C683D"/>
    <w:rsid w:val="00775CD9"/>
    <w:rsid w:val="00D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0309D"/>
  <w15:chartTrackingRefBased/>
  <w15:docId w15:val="{5187C1E1-2F85-468F-BFDE-2C304B9F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484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Freire</dc:creator>
  <cp:keywords/>
  <dc:description/>
  <cp:lastModifiedBy>Vinícius Freire</cp:lastModifiedBy>
  <cp:revision>1</cp:revision>
  <dcterms:created xsi:type="dcterms:W3CDTF">2026-01-09T03:26:00Z</dcterms:created>
  <dcterms:modified xsi:type="dcterms:W3CDTF">2026-01-09T03:26:00Z</dcterms:modified>
</cp:coreProperties>
</file>