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4F81BD"/>
          <w:sz w:val="40"/>
        </w:rPr>
        <w:t>Stripe Compliance &amp; Scouting Shield Risk Assessment</w:t>
      </w:r>
    </w:p>
    <w:p>
      <w:pPr>
        <w:spacing w:after="120"/>
      </w:pPr>
      <w:r/>
      <w:r>
        <w:rPr>
          <w:b/>
        </w:rPr>
        <w:t>Prepared for:</w:t>
      </w:r>
      <w:r>
        <w:t xml:space="preserve"> Osita Ogene / Elliot Taylor</w:t>
      </w:r>
    </w:p>
    <w:p>
      <w:pPr>
        <w:spacing w:after="120"/>
      </w:pPr>
      <w:r/>
      <w:r>
        <w:rPr>
          <w:b/>
        </w:rPr>
        <w:t>Date:</w:t>
      </w:r>
      <w:r>
        <w:t xml:space="preserve"> June 29, 2026</w:t>
      </w:r>
    </w:p>
    <w:p>
      <w:pPr>
        <w:spacing w:after="120"/>
      </w:pPr>
      <w:r/>
      <w:r>
        <w:rPr>
          <w:b/>
        </w:rPr>
        <w:t>Re:</w:t>
      </w:r>
      <w:r>
        <w:t xml:space="preserve"> Billiards Market Ladder V2 — Proposed UI changes and Stripe risk</w:t>
      </w:r>
    </w:p>
    <w:p>
      <w:pPr>
        <w:spacing w:before="160" w:after="160"/>
      </w:pPr>
      <w:r>
        <w:rPr>
          <w:color w:val="C8C8C8"/>
        </w:rPr>
        <w:t>____________________________________________________</w:t>
      </w:r>
    </w:p>
    <w:p>
      <w:pPr>
        <w:spacing w:before="240" w:after="120"/>
      </w:pPr>
      <w:r>
        <w:rPr>
          <w:b/>
          <w:color w:val="4F81BD"/>
          <w:sz w:val="28"/>
        </w:rPr>
        <w:t>1. Technical Changes Implemented</w:t>
      </w:r>
    </w:p>
    <w:p>
      <w:pPr>
        <w:spacing w:after="120"/>
      </w:pPr>
      <w:r>
        <w:t>We have successfully implemented the proposed UI changes to build the "Scouting Shield" framework:</w:t>
      </w:r>
    </w:p>
    <w:p>
      <w:pPr>
        <w:pStyle w:val="ListBullet"/>
        <w:spacing w:after="80"/>
      </w:pPr>
      <w:r/>
      <w:r>
        <w:rPr>
          <w:b/>
        </w:rPr>
        <w:t>Fargo-style Ratings</w:t>
      </w:r>
      <w:r>
        <w:t>: Deterministic ratings calculated from player rank and streaks (e.g. `🎯 Fargo: 755`) are displayed on the predictions grid.</w:t>
      </w:r>
    </w:p>
    <w:p>
      <w:pPr>
        <w:pStyle w:val="ListBullet"/>
        <w:spacing w:after="80"/>
      </w:pPr>
      <w:r/>
      <w:r>
        <w:rPr>
          <w:b/>
        </w:rPr>
        <w:t>Scouting Dashboard Popup</w:t>
      </w:r>
      <w:r>
        <w:t>: Clicking "Buy Shares" opens a statistics window showing Fargo Rating, recent form record, rank position, and location.</w:t>
      </w:r>
    </w:p>
    <w:p>
      <w:pPr>
        <w:pStyle w:val="ListBullet"/>
        <w:spacing w:after="80"/>
      </w:pPr>
      <w:r/>
      <w:r>
        <w:rPr>
          <w:b/>
        </w:rPr>
        <w:t>Attestation Checkbox</w:t>
      </w:r>
      <w:r>
        <w:t>: A checkbox requiring the supporter to assert they have reviewed the stats and performed their own analysis before checkout.</w:t>
      </w:r>
    </w:p>
    <w:p>
      <w:pPr>
        <w:pStyle w:val="ListBullet"/>
        <w:spacing w:after="80"/>
      </w:pPr>
      <w:r/>
      <w:r>
        <w:rPr>
          <w:b/>
        </w:rPr>
        <w:t>Checkout Gate</w:t>
      </w:r>
      <w:r>
        <w:t>: The Stripe payment button is disabled and reads `🔒 Confirm Scouting First` until the checkbox is checked.</w:t>
      </w:r>
    </w:p>
    <w:p>
      <w:pPr>
        <w:pStyle w:val="ListBullet"/>
        <w:spacing w:after="80"/>
      </w:pPr>
      <w:r/>
      <w:r>
        <w:rPr>
          <w:b/>
        </w:rPr>
        <w:t>Obsolete Market Tab Removed</w:t>
      </w:r>
      <w:r>
        <w:t xml:space="preserve">: The landing view is now the </w:t>
      </w:r>
      <w:r>
        <w:rPr>
          <w:b/>
        </w:rPr>
        <w:t>Scouting &amp; Market</w:t>
      </w:r>
      <w:r>
        <w:t xml:space="preserve"> dashboard.</w:t>
      </w:r>
    </w:p>
    <w:p>
      <w:pPr>
        <w:spacing w:before="160" w:after="160"/>
      </w:pPr>
      <w:r>
        <w:rPr>
          <w:color w:val="C8C8C8"/>
        </w:rPr>
        <w:t>____________________________________________________</w:t>
      </w:r>
    </w:p>
    <w:p>
      <w:pPr>
        <w:spacing w:before="240" w:after="120"/>
      </w:pPr>
      <w:r>
        <w:rPr>
          <w:b/>
          <w:color w:val="4F81BD"/>
          <w:sz w:val="28"/>
        </w:rPr>
        <w:t>2. Realistic Compliance Assessment: Will Stripe Accept This?</w:t>
      </w:r>
    </w:p>
    <w:p>
      <w:pPr>
        <w:spacing w:before="160" w:after="80"/>
      </w:pPr>
      <w:r>
        <w:rPr>
          <w:b/>
          <w:sz w:val="24"/>
        </w:rPr>
        <w:t>**No, not if the account undergoes manual review.**</w:t>
      </w:r>
    </w:p>
    <w:p>
      <w:pPr>
        <w:spacing w:after="120"/>
      </w:pPr>
      <w:r>
        <w:t xml:space="preserve">While these changes make the platform *look* more like a scouting tool, they do </w:t>
      </w:r>
      <w:r>
        <w:rPr>
          <w:b/>
        </w:rPr>
        <w:t>not</w:t>
      </w:r>
      <w:r>
        <w:t xml:space="preserve"> change the underlying mechanics of the transaction. A manual reviewer from Stripe's compliance or underwriting teams will likely reject the "Scouting Shield" as a valid legal defense for the following reasons:</w:t>
      </w:r>
    </w:p>
    <w:p>
      <w:pPr>
        <w:pStyle w:val="ListNumber"/>
        <w:spacing w:after="80"/>
      </w:pPr>
      <w:r/>
      <w:r>
        <w:rPr>
          <w:b/>
        </w:rPr>
        <w:t>Attestation vs. Structure</w:t>
      </w:r>
      <w:r>
        <w:t>: A checkbox is a user attestation, not a structural change. The payout mechanism remains exactly the same: a supporter pays money for a share in a *single player* and receives a payout based entirely on real-world competitive outcomes they do not control.</w:t>
      </w:r>
    </w:p>
    <w:p>
      <w:pPr>
        <w:pStyle w:val="ListNumber"/>
        <w:spacing w:after="80"/>
      </w:pPr>
      <w:r/>
      <w:r>
        <w:rPr>
          <w:b/>
        </w:rPr>
        <w:t>The "Single-Outcome" Bet</w:t>
      </w:r>
      <w:r>
        <w:t xml:space="preserve">: In true Daily Fantasy Sports (DFS), legal skill-based protection under the UIGEA (Unlawful Internet Gambling Enforcement Act) comes from </w:t>
      </w:r>
      <w:r>
        <w:rPr>
          <w:b/>
        </w:rPr>
        <w:t>roster construction</w:t>
      </w:r>
      <w:r>
        <w:t>:</w:t>
      </w:r>
    </w:p>
    <w:p>
      <w:pPr>
        <w:pStyle w:val="ListBullet"/>
        <w:spacing w:after="80"/>
      </w:pPr>
      <w:r>
        <w:t>Supporters choose *multiple* players from a pool under budget (salary cap) and positional constraints.</w:t>
      </w:r>
    </w:p>
    <w:p>
      <w:pPr>
        <w:pStyle w:val="ListBullet"/>
        <w:spacing w:after="80"/>
      </w:pPr>
      <w:r>
        <w:t>Roster scores are determined by a complex formula aggregating multiple players' performance.</w:t>
      </w:r>
    </w:p>
    <w:p>
      <w:pPr>
        <w:pStyle w:val="ListBullet"/>
        <w:spacing w:after="80"/>
      </w:pPr>
      <w:r>
        <w:t>In contrast, buying a single player share on ActionLadder remains structurally identical to a sports bet or binary option.</w:t>
      </w:r>
    </w:p>
    <w:p>
      <w:pPr>
        <w:pStyle w:val="ListNumber"/>
        <w:spacing w:after="80"/>
      </w:pPr>
      <w:r/>
      <w:r>
        <w:rPr>
          <w:b/>
        </w:rPr>
        <w:t>Stripe's Restricted Businesses Policy</w:t>
      </w:r>
      <w:r>
        <w:t>: Stripe explicitly states that they evaluate businesses based on their *underlying transaction mechanics*, not their onboarding language, marketing copy, or disclaimer checkboxes.</w:t>
      </w:r>
    </w:p>
    <w:p>
      <w:pPr>
        <w:spacing w:before="160" w:after="160"/>
      </w:pPr>
      <w:r>
        <w:rPr>
          <w:color w:val="C8C8C8"/>
        </w:rPr>
        <w:t>____________________________________________________</w:t>
      </w:r>
    </w:p>
    <w:p>
      <w:pPr>
        <w:spacing w:before="240" w:after="120"/>
      </w:pPr>
      <w:r>
        <w:rPr>
          <w:b/>
          <w:color w:val="4F81BD"/>
          <w:sz w:val="28"/>
        </w:rPr>
        <w:t>3. High-Risk Scenarios for Mr. Elliott</w:t>
      </w:r>
    </w:p>
    <w:p>
      <w:pPr>
        <w:pStyle w:val="ListBullet"/>
        <w:spacing w:after="80"/>
      </w:pPr>
      <w:r/>
      <w:r>
        <w:rPr>
          <w:b/>
        </w:rPr>
        <w:t>The Review Hazard</w:t>
      </w:r>
      <w:r>
        <w:t>: For small transaction volumes, the account may go unnoticed. However, as volume grows or keyword triggers are hit, a manual review is highly likely. Reviewers are trained to look past checkbox-based workarounds.</w:t>
      </w:r>
    </w:p>
    <w:p>
      <w:pPr>
        <w:pStyle w:val="ListBullet"/>
        <w:spacing w:after="80"/>
      </w:pPr>
      <w:r/>
      <w:r>
        <w:rPr>
          <w:b/>
        </w:rPr>
        <w:t>The "Disguise" Risk (Severe)</w:t>
      </w:r>
      <w:r>
        <w:t xml:space="preserve">: Presenting Stripe with curated marketing descriptions that deliberately avoid terms like "gambling," "betting," or "payouts" while maintaining the single-share payout mechanic can be viewed by processors as </w:t>
      </w:r>
      <w:r>
        <w:rPr>
          <w:b/>
        </w:rPr>
        <w:t>intentional mischaracterization</w:t>
      </w:r>
      <w:r>
        <w:t>. Processors and regulators treat deliberate deception much more harshly than honest miscategorization, which could lead to a permanent, blacklisted ban (TNS/MATCH list) and frozen funds.</w:t>
      </w:r>
    </w:p>
    <w:p>
      <w:pPr>
        <w:spacing w:before="160" w:after="160"/>
      </w:pPr>
      <w:r>
        <w:rPr>
          <w:color w:val="C8C8C8"/>
        </w:rPr>
        <w:t>____________________________________________________</w:t>
      </w:r>
    </w:p>
    <w:p>
      <w:pPr>
        <w:spacing w:before="240" w:after="120"/>
      </w:pPr>
      <w:r>
        <w:rPr>
          <w:b/>
          <w:color w:val="4F81BD"/>
          <w:sz w:val="28"/>
        </w:rPr>
        <w:t>4. Key Recommendations</w:t>
      </w:r>
    </w:p>
    <w:p>
      <w:pPr>
        <w:spacing w:after="120"/>
      </w:pPr>
      <w:r>
        <w:t>If Mr. Elliott wishes to build a legally defensible platform that payment processors will accept, he should pursue one of two tracks:</w:t>
      </w:r>
    </w:p>
    <w:p>
      <w:pPr>
        <w:spacing w:before="160" w:after="80"/>
      </w:pPr>
      <w:r>
        <w:rPr>
          <w:b/>
          <w:sz w:val="24"/>
        </w:rPr>
        <w:t>Option A: The Roster &amp; Scoring Rework (DFS Model)</w:t>
      </w:r>
    </w:p>
    <w:p>
      <w:pPr>
        <w:spacing w:after="120"/>
      </w:pPr>
      <w:r>
        <w:t>Structurally redesign the product to implement a genuine game of skill:</w:t>
      </w:r>
    </w:p>
    <w:p>
      <w:pPr>
        <w:pStyle w:val="ListBullet"/>
        <w:spacing w:after="80"/>
      </w:pPr>
      <w:r/>
      <w:r>
        <w:rPr>
          <w:b/>
        </w:rPr>
        <w:t>Multi-player Portfolios</w:t>
      </w:r>
      <w:r>
        <w:t>: Force supporters to build a "Roster" of multiple players under budget constraints.</w:t>
      </w:r>
    </w:p>
    <w:p>
      <w:pPr>
        <w:pStyle w:val="ListBullet"/>
        <w:spacing w:after="80"/>
      </w:pPr>
      <w:r/>
      <w:r>
        <w:rPr>
          <w:b/>
        </w:rPr>
        <w:t>Scouting Scoring Formulas</w:t>
      </w:r>
      <w:r>
        <w:t>: Define a formula that scores the roster based on aggregated tournament performance.</w:t>
      </w:r>
    </w:p>
    <w:p>
      <w:pPr>
        <w:pStyle w:val="ListBullet"/>
        <w:spacing w:after="80"/>
      </w:pPr>
      <w:r/>
      <w:r>
        <w:rPr>
          <w:b/>
        </w:rPr>
        <w:t>Peer-to-Peer Contests</w:t>
      </w:r>
      <w:r>
        <w:t>: Rank rosters against other supporters' rosters, with payouts distributed based on skill rankings.</w:t>
      </w:r>
    </w:p>
    <w:p>
      <w:pPr>
        <w:spacing w:before="160" w:after="80"/>
      </w:pPr>
      <w:r>
        <w:rPr>
          <w:b/>
          <w:sz w:val="24"/>
        </w:rPr>
        <w:t>Option B: Legal Consultation &amp; Accept Risk</w:t>
      </w:r>
    </w:p>
    <w:p>
      <w:pPr>
        <w:pStyle w:val="ListBullet"/>
        <w:spacing w:after="80"/>
      </w:pPr>
      <w:r>
        <w:t xml:space="preserve">Keep the current single-player share structure, but accept that </w:t>
      </w:r>
      <w:r>
        <w:rPr>
          <w:b/>
        </w:rPr>
        <w:t>it carries a high risk of Stripe suspension or account termination at any time.</w:t>
      </w:r>
      <w:r/>
    </w:p>
    <w:p>
      <w:pPr>
        <w:pStyle w:val="ListBullet"/>
        <w:spacing w:after="80"/>
      </w:pPr>
      <w:r>
        <w:t>Do not attempt to use the "Scouting Shield" or curated company definitions to deceive Stripe reviewers if audited.</w:t>
      </w:r>
    </w:p>
    <w:p>
      <w:pPr>
        <w:pStyle w:val="ListBullet"/>
        <w:spacing w:after="80"/>
      </w:pPr>
      <w:r/>
      <w:r>
        <w:rPr>
          <w:b/>
        </w:rPr>
        <w:t>Critical</w:t>
      </w:r>
      <w:r>
        <w:t>: Schedule a one-time consultation with a licensed gaming/fintech compliance attorney before launching real-money operations to draft a compliant Terms of Service and evaluate state-by-state legality.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