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Estándar Técnico de Nomenclatura y Arquitectura PL/SQL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150" w:lineRule="auto"/>
        <w:ind w:left="210" w:right="210" w:firstLine="0"/>
        <w:rPr>
          <w:sz w:val="20"/>
          <w:szCs w:val="20"/>
          <w:shd w:fill="f0f7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shd w:fill="f0f7ff" w:val="clear"/>
          <w:rtl w:val="0"/>
        </w:rPr>
        <w:t xml:space="preserve">Propósito del Documento:</w:t>
      </w:r>
      <w:r w:rsidDel="00000000" w:rsidR="00000000" w:rsidRPr="00000000">
        <w:rPr>
          <w:sz w:val="20"/>
          <w:szCs w:val="20"/>
          <w:shd w:fill="f0f7ff" w:val="clear"/>
          <w:rtl w:val="0"/>
        </w:rPr>
        <w:t xml:space="preserve"> Definir las reglas estrictas de nomenclatura y estructura para la creación de objetos de base de datos (tablas, restricciones, índices, triggers), paquetes y código PL/SQL (variables, constantes, rutinas y parámetros), garantizando consistencia, mantenibilidad y escalabilidad en el ciclo de vida del desarrollo de software.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Nomenclatura de Tablas de Base de Datos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tablas deben seguir una estructura jerárquica obligatoria que identifique la aplicación de origen, el módulo funcional y el propósito específico de la entidad.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Estructura General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5f9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app_modulo_tabla_nombre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Desglose de Componentes</w:t>
      </w:r>
    </w:p>
    <w:tbl>
      <w:tblPr>
        <w:tblStyle w:val="Table1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Ejemplos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Abreviatura o identificador del sistema/aplicación principal.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erp, 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Sigla representativa del módulo del sistema.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 (Finanzas), stk (Stock/Inventario), prd (Producción)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tabla_nombre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descriptivo en singular de la entidad de datos.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pedido, producto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Ejemplos Prácticos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erp_fin_factura: Tabla de facturas dentro del módulo de Finanzas del sistema ERP.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erp_stk_movimiento: Movimiento de stock dentro del módulo de Inventario del sistema ERP.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crm_cli_gestion_contacto: Registro de gestión con clientes en el módulo CRM.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Estándares para Restricciones e Índices (Constraints &amp; Indexes)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objeto asociado a la tabla debe tener un identificador unívoco siguiendo prefijos estandarizados para facilitar la trazabilidad durante auditorías o depuración de errores SQL/PLSQL.</w:t>
      </w:r>
    </w:p>
    <w:tbl>
      <w:tblPr>
        <w:tblStyle w:val="Table2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Tipo de Objeto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Prefijo / Formato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Ejemplo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pk_nombre_tabla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principal de la tabla.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pk_erp_fin_factura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fk_tablapadre_tablahijo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 referencial entre la tabla padre (origen) y la tabla hija (destino).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fk_erpfincliente_erpfactura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Unique Key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uk_descripcion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Restricción de unicidad para columnas o conjuntos de columnas.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uk_cliente_numero_documento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 Constraint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ck_descripcion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lógica de valores permitidos en una o más columnas.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ck_factura_monto_positivo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 Constraint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df_DESC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por defecto asignado a una columna al insertar registros.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df_factura_estado_borrador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Índice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IDX_DESC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Objeto de indexación B-Tree / Bitmap para optimización de consultas.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IDX_FACTURA_FECHA_EMISION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Nomenclatura de Triggers de Base de Datos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triggers deben identificar de forma inmediata la tabla base sobre la cual actúan, así como el momento de ejecución (Before, After, Instead Of) y el/los eventos DML asociados (Insert, Update, Delete) mediante un sufijo acrónimo al final del nombre.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Estructura General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5f9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trg_app_modulo_tabla_MOMENTOEVENTO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Desglose de Componentes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Prefijo:</w:t>
      </w:r>
      <w:r w:rsidDel="00000000" w:rsidR="00000000" w:rsidRPr="00000000">
        <w:rPr>
          <w:sz w:val="20"/>
          <w:szCs w:val="20"/>
          <w:rtl w:val="0"/>
        </w:rPr>
        <w:t xml:space="preserve"> trg_ (Identificador único para objetos tipo Trigger).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Cuerpo:</w:t>
      </w:r>
      <w:r w:rsidDel="00000000" w:rsidR="00000000" w:rsidRPr="00000000">
        <w:rPr>
          <w:sz w:val="20"/>
          <w:szCs w:val="20"/>
          <w:rtl w:val="0"/>
        </w:rPr>
        <w:t xml:space="preserve"> app_modulo_tabla (Nombre completo de la tabla base según la Sección 1).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Sufijo (Momento/Evento):</w:t>
      </w:r>
      <w:r w:rsidDel="00000000" w:rsidR="00000000" w:rsidRPr="00000000">
        <w:rPr>
          <w:sz w:val="20"/>
          <w:szCs w:val="20"/>
          <w:rtl w:val="0"/>
        </w:rPr>
        <w:t xml:space="preserve"> Combinación obligatoria de letras al final del nombre: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Momento:</w:t>
      </w:r>
      <w:r w:rsidDel="00000000" w:rsidR="00000000" w:rsidRPr="00000000">
        <w:rPr>
          <w:sz w:val="20"/>
          <w:szCs w:val="20"/>
          <w:rtl w:val="0"/>
        </w:rPr>
        <w:t xml:space="preserve"> b (Before), a (After), io (Instead Of).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Evento:</w:t>
      </w:r>
      <w:r w:rsidDel="00000000" w:rsidR="00000000" w:rsidRPr="00000000">
        <w:rPr>
          <w:sz w:val="20"/>
          <w:szCs w:val="20"/>
          <w:rtl w:val="0"/>
        </w:rPr>
        <w:t xml:space="preserve"> i (Insert), u (Update), d (Delete).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Codificación de Sufijos</w:t>
      </w:r>
    </w:p>
    <w:tbl>
      <w:tblPr>
        <w:tblStyle w:val="Table3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Sufijo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Significado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Momento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Evento(s)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_bi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Before Insert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_bu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Before Update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_bd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Before Delete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_ai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Insert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Después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_au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Update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Después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_ad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Delete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Después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_biu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Before Insert &amp; Update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 y Update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_aiu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Insert &amp; Update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Después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 y Update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_biud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Before Insert, Update &amp; Delete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Insert, Update y Delete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_aiud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Insert, Update &amp; Delete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Después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Insert, Update y Delete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_io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Instead Of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lugar de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Vistas (DML)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Ejemplos Prácticos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trg_erp_fin_factura_bi: Trigger en erp_fin_factura que ejecuta lógica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Before Insert</w:t>
      </w:r>
      <w:r w:rsidDel="00000000" w:rsidR="00000000" w:rsidRPr="00000000">
        <w:rPr>
          <w:sz w:val="20"/>
          <w:szCs w:val="20"/>
          <w:rtl w:val="0"/>
        </w:rPr>
        <w:t xml:space="preserve"> (ej. asignación de secuencia o valores iniciales).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trg_erp_fin_factura_au: Trigger en erp_fin_factura que ejecuta lógica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After Update</w:t>
      </w:r>
      <w:r w:rsidDel="00000000" w:rsidR="00000000" w:rsidRPr="00000000">
        <w:rPr>
          <w:sz w:val="20"/>
          <w:szCs w:val="20"/>
          <w:rtl w:val="0"/>
        </w:rPr>
        <w:t xml:space="preserve"> (ej. auditoría de cambios).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trg_erp_fin_factura_biu: Trigger en erp_fin_factura que ejecuta lógica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Before Insert y Update</w:t>
      </w:r>
      <w:r w:rsidDel="00000000" w:rsidR="00000000" w:rsidRPr="00000000">
        <w:rPr>
          <w:sz w:val="20"/>
          <w:szCs w:val="20"/>
          <w:rtl w:val="0"/>
        </w:rPr>
        <w:t xml:space="preserve"> (ej. formateo o validación previa de campos).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trg_erp_stk_kardex_ad: Trigger en erp_stk_kardex que ejecuta lógica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After Delete</w:t>
      </w:r>
      <w:r w:rsidDel="00000000" w:rsidR="00000000" w:rsidRPr="00000000">
        <w:rPr>
          <w:sz w:val="20"/>
          <w:szCs w:val="20"/>
          <w:rtl w:val="0"/>
        </w:rPr>
        <w:t xml:space="preserve"> (ej. actualización de saldos).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Nomenclatura de Paquetes PL/SQL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paquetes agrupan lógica de negocio, reglas y operaciones de control. La nomenclatura indica el alcance modular, la entidad o programa principal que gestiona y el tipo de capa lógica.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Estructura General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5f9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modulo_programa_tipo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Desglose de Componentes</w:t>
      </w:r>
    </w:p>
    <w:tbl>
      <w:tblPr>
        <w:tblStyle w:val="Table4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Ejemplos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Sigla del módulo del sistema.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erp, crm, fin, stk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programa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Entidad o dominio de negocio sobre el que actúa el paquete.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pedidos, facturacion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3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 de responsabilidad del paquete: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ctr (Control): Manejo de DML puro (INSERT, UPDATE, DELETE), transaccionalidad y persisencia básica.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 (Regla de Negocio): Validaciones complejas, cálculo de impuestos, lógica de dominio y flujos de trabajo.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ctr, reg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Ejemplos Prácticos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erp_pedidos_ctr: Paquete de control que ejecuta las transacciones DML (altas, bajas, modificaciones) sobre los pedidos.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erp_pedidos_reg: Paquete que contiene la validación de crédito, cálculo de descuentos y aprobación comercial.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crm_cliente_ctr: Control de persisencia de la entidad cliente.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Estándares en Zona de Código PL/SQL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simplificar el mantenimiento, la lectura y la depuración del código fuente en rutinas PL/SQL, se establece el uso obligatorio de prefijos para identificadores y tipos de datos.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5.1. Variables, Constantes y Unidades Lógicas</w:t>
      </w:r>
    </w:p>
    <w:tbl>
      <w:tblPr>
        <w:tblStyle w:val="Table5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Elemento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Prefijo / Regla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Ejemplo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V_NOMBRE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V_TOTAL_FACTURA, V_ESTADO_CLIENTE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Constante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C_NOMBRE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C_IGV_PORCENTAJE, C_ESTADO_ACTIVO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Función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F_NOMBRE_FUNCION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F_CALCULAR_IMPUESTO, F_OBTENER_SALDO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Procedure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P_NOMBRE_PROCEDURE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P_REGISTRAR_PEDIDO, P_ANULAR_FACTURA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Parametrización en Funciones y Procedimientos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Todos los parámetros recibidos o retornados por rutinas deben declarar explícitamente su modo utilizando los siguientes prefijos:</w:t>
      </w:r>
    </w:p>
    <w:tbl>
      <w:tblPr>
        <w:tblStyle w:val="Table6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Modo del Parámetro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Prefijo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0d233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Ejemplo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 (Entrada)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I_NOMBRE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Parámetro de solo lectura recibido por la rutina.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I_CLIENTE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 (Salida)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O_NOMBRE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Parámetro asignado dentro de la rutina y devuelto al llamador.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O_NRO_DOC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 OUT (Entrada/Salida)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IO_NOMBRE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Parámetro que ingresa con un valor y puede ser modificado y devuelto.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IO_ESTADO</w:t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5f9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lineRule="auto"/>
    </w:pPr>
    <w:rPr>
      <w:b w:val="1"/>
      <w:bCs w:val="1"/>
      <w:i w:val="0"/>
      <w:iCs w:val="0"/>
      <w:color w:val="0d233a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  <w:ind w:left="150" w:firstLine="0"/>
    </w:pPr>
    <w:rPr>
      <w:b w:val="1"/>
      <w:bCs w:val="1"/>
      <w:i w:val="0"/>
      <w:iCs w:val="0"/>
      <w:color w:val="16425b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70" w:lineRule="auto"/>
    </w:pPr>
    <w:rPr>
      <w:b w:val="1"/>
      <w:bCs w:val="1"/>
      <w:i w:val="0"/>
      <w:iCs w:val="0"/>
      <w:color w:val="2a6f97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