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7DA415" w14:textId="143BEE3A" w:rsidR="00686229" w:rsidRPr="00852A27" w:rsidRDefault="00852A27" w:rsidP="00514925">
      <w:pPr>
        <w:jc w:val="center"/>
        <w:rPr>
          <w:rFonts w:ascii="Arial Narrow" w:hAnsi="Arial Narrow"/>
          <w:b/>
          <w:bCs/>
          <w:sz w:val="36"/>
          <w:szCs w:val="36"/>
        </w:rPr>
      </w:pPr>
      <w:r w:rsidRPr="00852A27">
        <w:rPr>
          <w:rFonts w:ascii="Arial Narrow" w:hAnsi="Arial Narrow"/>
          <w:b/>
          <w:bCs/>
          <w:sz w:val="36"/>
          <w:szCs w:val="36"/>
        </w:rPr>
        <w:t xml:space="preserve">Unit 1 </w:t>
      </w:r>
      <w:r w:rsidRPr="00C0403C">
        <w:rPr>
          <w:rFonts w:ascii="Arial Narrow" w:hAnsi="Arial Narrow"/>
          <w:sz w:val="36"/>
          <w:szCs w:val="36"/>
        </w:rPr>
        <w:t>I</w:t>
      </w:r>
      <w:r w:rsidRPr="00852A27">
        <w:rPr>
          <w:rFonts w:ascii="Arial Narrow" w:hAnsi="Arial Narrow"/>
          <w:b/>
          <w:bCs/>
          <w:sz w:val="36"/>
          <w:szCs w:val="36"/>
        </w:rPr>
        <w:t xml:space="preserve"> Kickstart My Chart</w:t>
      </w:r>
    </w:p>
    <w:p w14:paraId="5A2EEAE1" w14:textId="6F8CFFD4" w:rsidR="00852A27" w:rsidRPr="00852A27" w:rsidRDefault="00852A27" w:rsidP="00514925">
      <w:pPr>
        <w:jc w:val="center"/>
        <w:rPr>
          <w:rFonts w:ascii="Arial Narrow" w:hAnsi="Arial Narrow"/>
          <w:b/>
          <w:bCs/>
          <w:sz w:val="40"/>
          <w:szCs w:val="40"/>
        </w:rPr>
      </w:pPr>
      <w:r w:rsidRPr="00852A27">
        <w:rPr>
          <w:rFonts w:ascii="Arial Narrow" w:hAnsi="Arial Narrow"/>
          <w:b/>
          <w:bCs/>
          <w:sz w:val="40"/>
          <w:szCs w:val="40"/>
        </w:rPr>
        <w:t>Kickstarter Project Report</w:t>
      </w:r>
    </w:p>
    <w:p w14:paraId="21E64535" w14:textId="3FCC860E" w:rsidR="00852A27" w:rsidRDefault="00852A27" w:rsidP="00907EDC">
      <w:r>
        <w:rPr>
          <w:noProof/>
        </w:rPr>
        <w:drawing>
          <wp:anchor distT="0" distB="0" distL="114300" distR="114300" simplePos="0" relativeHeight="251658240" behindDoc="1" locked="0" layoutInCell="1" allowOverlap="1" wp14:anchorId="56842A4B" wp14:editId="243F9ED4">
            <wp:simplePos x="0" y="0"/>
            <wp:positionH relativeFrom="margin">
              <wp:align>center</wp:align>
            </wp:positionH>
            <wp:positionV relativeFrom="margin">
              <wp:posOffset>846066</wp:posOffset>
            </wp:positionV>
            <wp:extent cx="3484880" cy="1692275"/>
            <wp:effectExtent l="0" t="0" r="127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ckstarter-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4880" cy="1692275"/>
                    </a:xfrm>
                    <a:prstGeom prst="rect">
                      <a:avLst/>
                    </a:prstGeom>
                  </pic:spPr>
                </pic:pic>
              </a:graphicData>
            </a:graphic>
            <wp14:sizeRelH relativeFrom="page">
              <wp14:pctWidth>0</wp14:pctWidth>
            </wp14:sizeRelH>
            <wp14:sizeRelV relativeFrom="page">
              <wp14:pctHeight>0</wp14:pctHeight>
            </wp14:sizeRelV>
          </wp:anchor>
        </w:drawing>
      </w:r>
    </w:p>
    <w:p w14:paraId="205543B7" w14:textId="16617104" w:rsidR="00852A27" w:rsidRDefault="00852A27" w:rsidP="00907EDC"/>
    <w:p w14:paraId="1E23EB70" w14:textId="74B78740" w:rsidR="00852A27" w:rsidRDefault="00852A27" w:rsidP="00907EDC"/>
    <w:p w14:paraId="5DDFF282" w14:textId="73674A4D" w:rsidR="00852A27" w:rsidRDefault="00852A27" w:rsidP="00907EDC"/>
    <w:p w14:paraId="5C9A6D73" w14:textId="2B65A9D3" w:rsidR="00852A27" w:rsidRDefault="00852A27" w:rsidP="00907EDC"/>
    <w:p w14:paraId="7630BD58" w14:textId="46DCD3ED" w:rsidR="00852A27" w:rsidRDefault="00852A27" w:rsidP="00907EDC"/>
    <w:p w14:paraId="20BB07C9" w14:textId="422677F2" w:rsidR="00852A27" w:rsidRDefault="00852A27" w:rsidP="00907EDC"/>
    <w:p w14:paraId="58D45528" w14:textId="64D3BBFE" w:rsidR="00852A27" w:rsidRDefault="00852A27" w:rsidP="00907EDC"/>
    <w:p w14:paraId="29DFDEA9" w14:textId="0C6DB5A4" w:rsidR="00852A27" w:rsidRDefault="00852A27" w:rsidP="00907EDC"/>
    <w:p w14:paraId="67DE098D" w14:textId="4C21502C" w:rsidR="00852A27" w:rsidRDefault="00852A27" w:rsidP="00907EDC"/>
    <w:p w14:paraId="350D7BAE" w14:textId="614E97ED" w:rsidR="00852A27" w:rsidRDefault="00852A27" w:rsidP="00907EDC"/>
    <w:p w14:paraId="1F275782" w14:textId="4354EC18" w:rsidR="00852A27" w:rsidRDefault="00852A27" w:rsidP="00907EDC"/>
    <w:p w14:paraId="73666CE6" w14:textId="77777777" w:rsidR="00852A27" w:rsidRPr="00852A27" w:rsidRDefault="00852A27" w:rsidP="00514925">
      <w:pPr>
        <w:jc w:val="center"/>
        <w:rPr>
          <w:sz w:val="24"/>
          <w:szCs w:val="24"/>
        </w:rPr>
      </w:pPr>
      <w:r w:rsidRPr="00852A27">
        <w:rPr>
          <w:sz w:val="24"/>
          <w:szCs w:val="24"/>
        </w:rPr>
        <w:t>Prepared By:</w:t>
      </w:r>
    </w:p>
    <w:p w14:paraId="4015032F" w14:textId="6A9BBB1E" w:rsidR="00852A27" w:rsidRPr="00852A27" w:rsidRDefault="00852A27" w:rsidP="00514925">
      <w:pPr>
        <w:jc w:val="center"/>
        <w:rPr>
          <w:rFonts w:ascii="Arial Narrow" w:hAnsi="Arial Narrow"/>
          <w:b/>
          <w:bCs/>
          <w:sz w:val="32"/>
          <w:szCs w:val="32"/>
        </w:rPr>
      </w:pPr>
      <w:r w:rsidRPr="00852A27">
        <w:rPr>
          <w:rFonts w:ascii="Arial Narrow" w:hAnsi="Arial Narrow"/>
          <w:b/>
          <w:bCs/>
          <w:sz w:val="32"/>
          <w:szCs w:val="32"/>
        </w:rPr>
        <w:t>Sylvain David</w:t>
      </w:r>
    </w:p>
    <w:p w14:paraId="53899330" w14:textId="77777777" w:rsidR="00852A27" w:rsidRDefault="00852A27" w:rsidP="00514925">
      <w:pPr>
        <w:jc w:val="center"/>
        <w:rPr>
          <w:rFonts w:ascii="Arial Narrow" w:hAnsi="Arial Narrow"/>
          <w:b/>
          <w:bCs/>
          <w:sz w:val="32"/>
          <w:szCs w:val="32"/>
        </w:rPr>
      </w:pPr>
    </w:p>
    <w:p w14:paraId="400005CD" w14:textId="77777777" w:rsidR="00852A27" w:rsidRDefault="00852A27" w:rsidP="00514925">
      <w:pPr>
        <w:jc w:val="center"/>
        <w:rPr>
          <w:rFonts w:ascii="Arial Narrow" w:hAnsi="Arial Narrow"/>
          <w:b/>
          <w:bCs/>
          <w:sz w:val="32"/>
          <w:szCs w:val="32"/>
        </w:rPr>
      </w:pPr>
    </w:p>
    <w:p w14:paraId="71C0950C" w14:textId="77777777" w:rsidR="00852A27" w:rsidRDefault="00852A27" w:rsidP="00514925">
      <w:pPr>
        <w:jc w:val="center"/>
        <w:rPr>
          <w:rFonts w:ascii="Arial Narrow" w:hAnsi="Arial Narrow"/>
          <w:b/>
          <w:bCs/>
          <w:sz w:val="32"/>
          <w:szCs w:val="32"/>
        </w:rPr>
      </w:pPr>
    </w:p>
    <w:p w14:paraId="4BC11678" w14:textId="674C0B78" w:rsidR="00852A27" w:rsidRDefault="00852A27" w:rsidP="00514925">
      <w:pPr>
        <w:jc w:val="center"/>
        <w:rPr>
          <w:rFonts w:ascii="Arial Narrow" w:hAnsi="Arial Narrow"/>
          <w:b/>
          <w:bCs/>
          <w:sz w:val="32"/>
          <w:szCs w:val="32"/>
        </w:rPr>
      </w:pPr>
    </w:p>
    <w:p w14:paraId="6B60DC5F" w14:textId="7DF32A49" w:rsidR="00852A27" w:rsidRDefault="00852A27" w:rsidP="00514925">
      <w:pPr>
        <w:jc w:val="center"/>
        <w:rPr>
          <w:rFonts w:ascii="Arial Narrow" w:hAnsi="Arial Narrow"/>
          <w:b/>
          <w:bCs/>
          <w:sz w:val="32"/>
          <w:szCs w:val="32"/>
        </w:rPr>
      </w:pPr>
    </w:p>
    <w:p w14:paraId="74AA236F" w14:textId="3E1E4F56" w:rsidR="00852A27" w:rsidRDefault="00852A27" w:rsidP="00514925">
      <w:pPr>
        <w:jc w:val="center"/>
        <w:rPr>
          <w:rFonts w:ascii="Arial Narrow" w:hAnsi="Arial Narrow"/>
          <w:b/>
          <w:bCs/>
          <w:sz w:val="32"/>
          <w:szCs w:val="32"/>
        </w:rPr>
      </w:pPr>
    </w:p>
    <w:p w14:paraId="2BD67361" w14:textId="77777777" w:rsidR="00852A27" w:rsidRDefault="00852A27" w:rsidP="00514925">
      <w:pPr>
        <w:jc w:val="center"/>
        <w:rPr>
          <w:rFonts w:ascii="Arial Narrow" w:hAnsi="Arial Narrow"/>
          <w:b/>
          <w:bCs/>
          <w:sz w:val="32"/>
          <w:szCs w:val="32"/>
        </w:rPr>
      </w:pPr>
    </w:p>
    <w:p w14:paraId="7BAA30C7" w14:textId="77777777" w:rsidR="00852A27" w:rsidRDefault="00852A27" w:rsidP="00514925">
      <w:pPr>
        <w:jc w:val="center"/>
        <w:rPr>
          <w:rFonts w:ascii="Arial Narrow" w:hAnsi="Arial Narrow"/>
          <w:b/>
          <w:bCs/>
          <w:sz w:val="32"/>
          <w:szCs w:val="32"/>
        </w:rPr>
      </w:pPr>
    </w:p>
    <w:p w14:paraId="5C05932B" w14:textId="5D15219C" w:rsidR="00852A27" w:rsidRDefault="00852A27" w:rsidP="00514925">
      <w:pPr>
        <w:jc w:val="center"/>
        <w:rPr>
          <w:rFonts w:ascii="Arial Narrow" w:hAnsi="Arial Narrow"/>
          <w:b/>
          <w:bCs/>
          <w:sz w:val="32"/>
          <w:szCs w:val="32"/>
        </w:rPr>
      </w:pPr>
      <w:r w:rsidRPr="00852A27">
        <w:rPr>
          <w:rFonts w:ascii="Arial Narrow" w:hAnsi="Arial Narrow"/>
          <w:b/>
          <w:bCs/>
          <w:sz w:val="32"/>
          <w:szCs w:val="32"/>
        </w:rPr>
        <w:t>June 15, 2020</w:t>
      </w:r>
    </w:p>
    <w:p w14:paraId="2B6C08DD" w14:textId="52C27EE4" w:rsidR="00852A27" w:rsidRPr="000B5A6E" w:rsidRDefault="00852A27" w:rsidP="00907EDC">
      <w:pPr>
        <w:rPr>
          <w:rFonts w:ascii="Myriad Pro Cond" w:hAnsi="Myriad Pro Cond"/>
          <w:color w:val="1BC34F"/>
          <w:sz w:val="44"/>
          <w:szCs w:val="44"/>
          <w:u w:val="single"/>
        </w:rPr>
      </w:pPr>
      <w:r w:rsidRPr="000B5A6E">
        <w:rPr>
          <w:rFonts w:ascii="Myriad Pro Cond" w:hAnsi="Myriad Pro Cond"/>
          <w:color w:val="1BC34F"/>
          <w:sz w:val="44"/>
          <w:szCs w:val="44"/>
          <w:u w:val="single"/>
        </w:rPr>
        <w:lastRenderedPageBreak/>
        <w:t>Table of Contents</w:t>
      </w:r>
      <w:r w:rsidR="002B4B5B" w:rsidRPr="000B5A6E">
        <w:rPr>
          <w:rFonts w:ascii="Myriad Pro Cond" w:hAnsi="Myriad Pro Cond"/>
          <w:color w:val="1BC34F"/>
          <w:sz w:val="44"/>
          <w:szCs w:val="44"/>
          <w:u w:val="single"/>
        </w:rPr>
        <w:t>:</w:t>
      </w:r>
    </w:p>
    <w:p w14:paraId="2DB93784" w14:textId="77777777" w:rsidR="00C0403C" w:rsidRDefault="00C0403C" w:rsidP="00907EDC"/>
    <w:p w14:paraId="4B878B1C" w14:textId="5B173257" w:rsidR="00852A27" w:rsidRPr="00433F94" w:rsidRDefault="00852A27" w:rsidP="00907EDC">
      <w:pPr>
        <w:rPr>
          <w:color w:val="1BC34F"/>
          <w:sz w:val="24"/>
          <w:szCs w:val="24"/>
        </w:rPr>
      </w:pPr>
      <w:r w:rsidRPr="006D4E0F">
        <w:rPr>
          <w:sz w:val="24"/>
          <w:szCs w:val="24"/>
        </w:rPr>
        <w:t>List of Figures</w:t>
      </w:r>
      <w:r w:rsidR="00680DCE">
        <w:rPr>
          <w:sz w:val="24"/>
          <w:szCs w:val="24"/>
        </w:rPr>
        <w:t xml:space="preserve"> and Tables</w:t>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sidRPr="00433F94">
        <w:rPr>
          <w:color w:val="1BC34F"/>
          <w:sz w:val="24"/>
          <w:szCs w:val="24"/>
        </w:rPr>
        <w:t>p.3</w:t>
      </w:r>
    </w:p>
    <w:p w14:paraId="6D47787F" w14:textId="66237FA1" w:rsidR="002B4B5B" w:rsidRPr="006D4E0F" w:rsidRDefault="002B4B5B" w:rsidP="00907EDC">
      <w:pPr>
        <w:rPr>
          <w:sz w:val="24"/>
          <w:szCs w:val="24"/>
        </w:rPr>
      </w:pPr>
      <w:r w:rsidRPr="006D4E0F">
        <w:rPr>
          <w:sz w:val="24"/>
          <w:szCs w:val="24"/>
        </w:rPr>
        <w:t>Introduction</w:t>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sidRPr="00433F94">
        <w:rPr>
          <w:color w:val="1BC34F"/>
          <w:sz w:val="24"/>
          <w:szCs w:val="24"/>
        </w:rPr>
        <w:t>p.4</w:t>
      </w:r>
    </w:p>
    <w:p w14:paraId="0BC6A3E1" w14:textId="13A23AA1" w:rsidR="00852A27" w:rsidRPr="006D4E0F" w:rsidRDefault="00852A27" w:rsidP="00907EDC">
      <w:pPr>
        <w:rPr>
          <w:sz w:val="24"/>
          <w:szCs w:val="24"/>
        </w:rPr>
      </w:pPr>
      <w:r w:rsidRPr="006D4E0F">
        <w:rPr>
          <w:sz w:val="24"/>
          <w:szCs w:val="24"/>
        </w:rPr>
        <w:t>Part</w:t>
      </w:r>
      <w:r w:rsidR="001E615F" w:rsidRPr="006D4E0F">
        <w:rPr>
          <w:sz w:val="24"/>
          <w:szCs w:val="24"/>
        </w:rPr>
        <w:t xml:space="preserve"> </w:t>
      </w:r>
      <w:r w:rsidRPr="006D4E0F">
        <w:rPr>
          <w:sz w:val="24"/>
          <w:szCs w:val="24"/>
        </w:rPr>
        <w:t xml:space="preserve">1: What are three </w:t>
      </w:r>
      <w:r w:rsidR="001E615F" w:rsidRPr="006D4E0F">
        <w:rPr>
          <w:sz w:val="24"/>
          <w:szCs w:val="24"/>
        </w:rPr>
        <w:t>conclusions possible about Kickstarter campaigns?</w:t>
      </w:r>
      <w:r w:rsidR="00680DCE">
        <w:rPr>
          <w:sz w:val="24"/>
          <w:szCs w:val="24"/>
        </w:rPr>
        <w:tab/>
      </w:r>
      <w:r w:rsidR="00680DCE">
        <w:rPr>
          <w:sz w:val="24"/>
          <w:szCs w:val="24"/>
        </w:rPr>
        <w:tab/>
      </w:r>
      <w:r w:rsidR="00680DCE">
        <w:rPr>
          <w:sz w:val="24"/>
          <w:szCs w:val="24"/>
        </w:rPr>
        <w:tab/>
      </w:r>
      <w:r w:rsidR="00680DCE" w:rsidRPr="00433F94">
        <w:rPr>
          <w:color w:val="1BC34F"/>
          <w:sz w:val="24"/>
          <w:szCs w:val="24"/>
        </w:rPr>
        <w:t>p.5</w:t>
      </w:r>
    </w:p>
    <w:p w14:paraId="10F51963" w14:textId="6757A0E5" w:rsidR="001E615F" w:rsidRPr="006D4E0F" w:rsidRDefault="001E615F" w:rsidP="00907EDC">
      <w:pPr>
        <w:rPr>
          <w:sz w:val="24"/>
          <w:szCs w:val="24"/>
        </w:rPr>
      </w:pPr>
      <w:r w:rsidRPr="006D4E0F">
        <w:rPr>
          <w:sz w:val="24"/>
          <w:szCs w:val="24"/>
        </w:rPr>
        <w:t>Part 2: What are some of the limitations of this dataset?</w:t>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sidRPr="00433F94">
        <w:rPr>
          <w:color w:val="1BC34F"/>
          <w:sz w:val="24"/>
          <w:szCs w:val="24"/>
        </w:rPr>
        <w:t>p.10</w:t>
      </w:r>
    </w:p>
    <w:p w14:paraId="3E1B2E19" w14:textId="34B14174" w:rsidR="001E615F" w:rsidRPr="006D4E0F" w:rsidRDefault="001E615F" w:rsidP="00907EDC">
      <w:pPr>
        <w:rPr>
          <w:sz w:val="24"/>
          <w:szCs w:val="24"/>
        </w:rPr>
      </w:pPr>
      <w:r w:rsidRPr="006D4E0F">
        <w:rPr>
          <w:sz w:val="24"/>
          <w:szCs w:val="24"/>
        </w:rPr>
        <w:t>Part 3: What are some other possible tables and/or graphs?</w:t>
      </w:r>
      <w:r w:rsidR="00680DCE">
        <w:rPr>
          <w:sz w:val="24"/>
          <w:szCs w:val="24"/>
        </w:rPr>
        <w:tab/>
      </w:r>
      <w:r w:rsidR="00680DCE">
        <w:rPr>
          <w:sz w:val="24"/>
          <w:szCs w:val="24"/>
        </w:rPr>
        <w:tab/>
      </w:r>
      <w:r w:rsidR="00680DCE">
        <w:rPr>
          <w:sz w:val="24"/>
          <w:szCs w:val="24"/>
        </w:rPr>
        <w:tab/>
      </w:r>
      <w:r w:rsidR="00680DCE">
        <w:rPr>
          <w:sz w:val="24"/>
          <w:szCs w:val="24"/>
        </w:rPr>
        <w:tab/>
      </w:r>
      <w:r w:rsidR="00680DCE" w:rsidRPr="00433F94">
        <w:rPr>
          <w:color w:val="1BC34F"/>
          <w:sz w:val="24"/>
          <w:szCs w:val="24"/>
        </w:rPr>
        <w:t>p.10</w:t>
      </w:r>
    </w:p>
    <w:p w14:paraId="7BCDAEF4" w14:textId="360AA158" w:rsidR="002B4B5B" w:rsidRPr="006D4E0F" w:rsidRDefault="001E615F" w:rsidP="00907EDC">
      <w:pPr>
        <w:rPr>
          <w:sz w:val="24"/>
          <w:szCs w:val="24"/>
        </w:rPr>
      </w:pPr>
      <w:r w:rsidRPr="006D4E0F">
        <w:rPr>
          <w:sz w:val="24"/>
          <w:szCs w:val="24"/>
        </w:rPr>
        <w:t>Part 4: Analysis of the dataset (Bonus)</w:t>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Pr>
          <w:sz w:val="24"/>
          <w:szCs w:val="24"/>
        </w:rPr>
        <w:tab/>
      </w:r>
      <w:r w:rsidR="00680DCE" w:rsidRPr="00433F94">
        <w:rPr>
          <w:color w:val="1BC34F"/>
          <w:sz w:val="24"/>
          <w:szCs w:val="24"/>
        </w:rPr>
        <w:t>p.11</w:t>
      </w:r>
    </w:p>
    <w:p w14:paraId="39598902" w14:textId="77777777" w:rsidR="002B4B5B" w:rsidRDefault="002B4B5B" w:rsidP="00907EDC"/>
    <w:p w14:paraId="386CA8F7" w14:textId="77777777" w:rsidR="002B4B5B" w:rsidRDefault="002B4B5B" w:rsidP="00907EDC"/>
    <w:p w14:paraId="3E075F00" w14:textId="77777777" w:rsidR="002B4B5B" w:rsidRDefault="002B4B5B" w:rsidP="00907EDC"/>
    <w:p w14:paraId="5AFDACAB" w14:textId="77777777" w:rsidR="002B4B5B" w:rsidRDefault="002B4B5B" w:rsidP="00907EDC"/>
    <w:p w14:paraId="3B4C8FE9" w14:textId="77777777" w:rsidR="002B4B5B" w:rsidRDefault="002B4B5B" w:rsidP="00907EDC"/>
    <w:p w14:paraId="5791899B" w14:textId="77777777" w:rsidR="002B4B5B" w:rsidRDefault="002B4B5B" w:rsidP="00907EDC"/>
    <w:p w14:paraId="3FABABA8" w14:textId="77777777" w:rsidR="002B4B5B" w:rsidRDefault="002B4B5B" w:rsidP="00907EDC"/>
    <w:p w14:paraId="6CE4EDF1" w14:textId="77777777" w:rsidR="002B4B5B" w:rsidRDefault="002B4B5B" w:rsidP="00907EDC"/>
    <w:p w14:paraId="177190A1" w14:textId="77777777" w:rsidR="002B4B5B" w:rsidRDefault="002B4B5B" w:rsidP="00907EDC"/>
    <w:p w14:paraId="1E5BAC89" w14:textId="77777777" w:rsidR="002B4B5B" w:rsidRDefault="002B4B5B" w:rsidP="00907EDC"/>
    <w:p w14:paraId="3D707718" w14:textId="77777777" w:rsidR="002B4B5B" w:rsidRDefault="002B4B5B" w:rsidP="00907EDC"/>
    <w:p w14:paraId="6CFCB1F7" w14:textId="77777777" w:rsidR="002B4B5B" w:rsidRDefault="002B4B5B" w:rsidP="00907EDC"/>
    <w:p w14:paraId="1920EFBA" w14:textId="77777777" w:rsidR="002B4B5B" w:rsidRDefault="002B4B5B" w:rsidP="00907EDC"/>
    <w:p w14:paraId="5F8FD69E" w14:textId="77777777" w:rsidR="002B4B5B" w:rsidRDefault="002B4B5B" w:rsidP="00907EDC"/>
    <w:p w14:paraId="49E6FD94" w14:textId="77777777" w:rsidR="002B4B5B" w:rsidRDefault="002B4B5B" w:rsidP="00907EDC"/>
    <w:p w14:paraId="7A722E79" w14:textId="77777777" w:rsidR="002B4B5B" w:rsidRDefault="002B4B5B" w:rsidP="00907EDC"/>
    <w:p w14:paraId="524D39C8" w14:textId="77777777" w:rsidR="002B4B5B" w:rsidRDefault="002B4B5B" w:rsidP="00907EDC"/>
    <w:p w14:paraId="7E45FCA8" w14:textId="77777777" w:rsidR="002B4B5B" w:rsidRDefault="002B4B5B" w:rsidP="00907EDC"/>
    <w:p w14:paraId="77E8B5CC" w14:textId="46DEEBBA" w:rsidR="002B4B5B" w:rsidRDefault="002B4B5B" w:rsidP="00907EDC"/>
    <w:p w14:paraId="71062033" w14:textId="77777777" w:rsidR="001A78DC" w:rsidRDefault="001A78DC" w:rsidP="00907EDC"/>
    <w:p w14:paraId="65742467" w14:textId="394E59FA" w:rsidR="002B4B5B" w:rsidRPr="000B5A6E" w:rsidRDefault="002B4B5B" w:rsidP="00907EDC">
      <w:pPr>
        <w:rPr>
          <w:rFonts w:ascii="Myriad Pro Cond" w:hAnsi="Myriad Pro Cond"/>
          <w:color w:val="1BC34F"/>
          <w:sz w:val="44"/>
          <w:szCs w:val="44"/>
          <w:u w:val="single"/>
        </w:rPr>
      </w:pPr>
      <w:r w:rsidRPr="000B5A6E">
        <w:rPr>
          <w:rFonts w:ascii="Myriad Pro Cond" w:hAnsi="Myriad Pro Cond"/>
          <w:color w:val="1BC34F"/>
          <w:sz w:val="44"/>
          <w:szCs w:val="44"/>
          <w:u w:val="single"/>
        </w:rPr>
        <w:lastRenderedPageBreak/>
        <w:t xml:space="preserve">List of </w:t>
      </w:r>
      <w:r w:rsidR="00C0403C" w:rsidRPr="000B5A6E">
        <w:rPr>
          <w:rFonts w:ascii="Myriad Pro Cond" w:hAnsi="Myriad Pro Cond"/>
          <w:color w:val="1BC34F"/>
          <w:sz w:val="44"/>
          <w:szCs w:val="44"/>
          <w:u w:val="single"/>
        </w:rPr>
        <w:t>Figures</w:t>
      </w:r>
      <w:r w:rsidR="00A940AD">
        <w:rPr>
          <w:rFonts w:ascii="Myriad Pro Cond" w:hAnsi="Myriad Pro Cond"/>
          <w:color w:val="1BC34F"/>
          <w:sz w:val="44"/>
          <w:szCs w:val="44"/>
          <w:u w:val="single"/>
        </w:rPr>
        <w:t xml:space="preserve"> and Tables</w:t>
      </w:r>
      <w:r w:rsidRPr="000B5A6E">
        <w:rPr>
          <w:rFonts w:ascii="Myriad Pro Cond" w:hAnsi="Myriad Pro Cond"/>
          <w:color w:val="1BC34F"/>
          <w:sz w:val="44"/>
          <w:szCs w:val="44"/>
          <w:u w:val="single"/>
        </w:rPr>
        <w:t>:</w:t>
      </w:r>
    </w:p>
    <w:p w14:paraId="08E3040A" w14:textId="081EAF34" w:rsidR="002B4B5B" w:rsidRDefault="002B4B5B" w:rsidP="00907EDC"/>
    <w:p w14:paraId="1C3420E1" w14:textId="18E42520" w:rsidR="002B4B5B" w:rsidRPr="006D4E0F" w:rsidRDefault="002B4B5B" w:rsidP="00907EDC">
      <w:pPr>
        <w:rPr>
          <w:sz w:val="24"/>
          <w:szCs w:val="24"/>
        </w:rPr>
      </w:pPr>
      <w:r w:rsidRPr="006D4E0F">
        <w:rPr>
          <w:sz w:val="24"/>
          <w:szCs w:val="24"/>
        </w:rPr>
        <w:t>Figure 1: Count of state by category</w:t>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sidRPr="00433F94">
        <w:rPr>
          <w:color w:val="1BC34F"/>
          <w:sz w:val="24"/>
          <w:szCs w:val="24"/>
        </w:rPr>
        <w:t>p.5</w:t>
      </w:r>
    </w:p>
    <w:p w14:paraId="5A8BEF54" w14:textId="0D29E17A" w:rsidR="002B4B5B" w:rsidRDefault="002B4B5B" w:rsidP="00907EDC">
      <w:pPr>
        <w:rPr>
          <w:sz w:val="24"/>
          <w:szCs w:val="24"/>
        </w:rPr>
      </w:pPr>
      <w:r w:rsidRPr="006D4E0F">
        <w:rPr>
          <w:sz w:val="24"/>
          <w:szCs w:val="24"/>
        </w:rPr>
        <w:t>Figure 2: Count of state by sub-category</w:t>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sidRPr="00433F94">
        <w:rPr>
          <w:color w:val="1BC34F"/>
          <w:sz w:val="24"/>
          <w:szCs w:val="24"/>
        </w:rPr>
        <w:t>p.6</w:t>
      </w:r>
    </w:p>
    <w:p w14:paraId="31581823" w14:textId="42A618DC" w:rsidR="00A940AD" w:rsidRPr="00A940AD" w:rsidRDefault="00A940AD" w:rsidP="00907EDC">
      <w:pPr>
        <w:rPr>
          <w:sz w:val="24"/>
          <w:szCs w:val="24"/>
        </w:rPr>
      </w:pPr>
      <w:r w:rsidRPr="00A940AD">
        <w:rPr>
          <w:sz w:val="24"/>
          <w:szCs w:val="24"/>
        </w:rPr>
        <w:t xml:space="preserve">Table 1: </w:t>
      </w:r>
      <w:r w:rsidRPr="00A940AD">
        <w:rPr>
          <w:sz w:val="24"/>
          <w:szCs w:val="24"/>
        </w:rPr>
        <w:t>Music genres preferred by consumers in the United States in 2018</w:t>
      </w:r>
      <w:r w:rsidR="00433F94">
        <w:rPr>
          <w:sz w:val="24"/>
          <w:szCs w:val="24"/>
        </w:rPr>
        <w:tab/>
      </w:r>
      <w:r w:rsidR="00433F94">
        <w:rPr>
          <w:sz w:val="24"/>
          <w:szCs w:val="24"/>
        </w:rPr>
        <w:tab/>
      </w:r>
      <w:r w:rsidR="00433F94" w:rsidRPr="00433F94">
        <w:rPr>
          <w:color w:val="1BC34F"/>
          <w:sz w:val="24"/>
          <w:szCs w:val="24"/>
        </w:rPr>
        <w:t>p.7</w:t>
      </w:r>
    </w:p>
    <w:p w14:paraId="721933A1" w14:textId="7A0CBA71" w:rsidR="002B4B5B" w:rsidRPr="006D4E0F" w:rsidRDefault="002B4B5B" w:rsidP="00907EDC">
      <w:pPr>
        <w:rPr>
          <w:sz w:val="24"/>
          <w:szCs w:val="24"/>
        </w:rPr>
      </w:pPr>
      <w:r w:rsidRPr="006D4E0F">
        <w:rPr>
          <w:sz w:val="24"/>
          <w:szCs w:val="24"/>
        </w:rPr>
        <w:t>Figure 3: Count of state by date</w:t>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sidRPr="00433F94">
        <w:rPr>
          <w:color w:val="1BC34F"/>
          <w:sz w:val="24"/>
          <w:szCs w:val="24"/>
        </w:rPr>
        <w:t>p.8</w:t>
      </w:r>
    </w:p>
    <w:p w14:paraId="7D7AE1C4" w14:textId="646C1050" w:rsidR="002B4B5B" w:rsidRDefault="002B4B5B" w:rsidP="00907EDC">
      <w:pPr>
        <w:rPr>
          <w:sz w:val="24"/>
          <w:szCs w:val="24"/>
        </w:rPr>
      </w:pPr>
      <w:r w:rsidRPr="006D4E0F">
        <w:rPr>
          <w:sz w:val="24"/>
          <w:szCs w:val="24"/>
        </w:rPr>
        <w:t>Figure 4: Count of state by fundraiser goal</w:t>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sidRPr="00433F94">
        <w:rPr>
          <w:color w:val="1BC34F"/>
          <w:sz w:val="24"/>
          <w:szCs w:val="24"/>
        </w:rPr>
        <w:t>p.9</w:t>
      </w:r>
    </w:p>
    <w:p w14:paraId="04D0DA5B" w14:textId="4E59103F" w:rsidR="00F462B1" w:rsidRPr="00F462B1" w:rsidRDefault="00F462B1" w:rsidP="00F462B1">
      <w:pPr>
        <w:spacing w:line="360" w:lineRule="auto"/>
        <w:rPr>
          <w:sz w:val="24"/>
          <w:szCs w:val="24"/>
        </w:rPr>
      </w:pPr>
      <w:r w:rsidRPr="00F462B1">
        <w:rPr>
          <w:sz w:val="24"/>
          <w:szCs w:val="24"/>
        </w:rPr>
        <w:t xml:space="preserve">Table 2: Summary statistics </w:t>
      </w:r>
      <w:r>
        <w:rPr>
          <w:sz w:val="24"/>
          <w:szCs w:val="24"/>
        </w:rPr>
        <w:t>t</w:t>
      </w:r>
      <w:r w:rsidRPr="00F462B1">
        <w:rPr>
          <w:sz w:val="24"/>
          <w:szCs w:val="24"/>
        </w:rPr>
        <w:t>able</w:t>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Pr>
          <w:sz w:val="24"/>
          <w:szCs w:val="24"/>
        </w:rPr>
        <w:tab/>
      </w:r>
      <w:r w:rsidR="00433F94" w:rsidRPr="00433F94">
        <w:rPr>
          <w:color w:val="1BC34F"/>
          <w:sz w:val="24"/>
          <w:szCs w:val="24"/>
        </w:rPr>
        <w:t>p.11</w:t>
      </w:r>
    </w:p>
    <w:p w14:paraId="46FD7726" w14:textId="77777777" w:rsidR="00F462B1" w:rsidRPr="006D4E0F" w:rsidRDefault="00F462B1" w:rsidP="00907EDC">
      <w:pPr>
        <w:rPr>
          <w:sz w:val="24"/>
          <w:szCs w:val="24"/>
        </w:rPr>
      </w:pPr>
    </w:p>
    <w:p w14:paraId="66317030" w14:textId="11A9D1D5" w:rsidR="002B4B5B" w:rsidRDefault="002B4B5B" w:rsidP="00907EDC"/>
    <w:p w14:paraId="3AE39D8A" w14:textId="225086B8" w:rsidR="002B4B5B" w:rsidRDefault="002B4B5B" w:rsidP="00907EDC"/>
    <w:p w14:paraId="064D1238" w14:textId="77777777" w:rsidR="00911655" w:rsidRDefault="00911655" w:rsidP="00907EDC"/>
    <w:p w14:paraId="590CA905" w14:textId="55BCFEBB" w:rsidR="002B4B5B" w:rsidRDefault="002B4B5B" w:rsidP="00907EDC"/>
    <w:p w14:paraId="4E852493" w14:textId="64D8F0AB" w:rsidR="002B4B5B" w:rsidRDefault="002B4B5B" w:rsidP="00907EDC"/>
    <w:p w14:paraId="7195C515" w14:textId="72DD8A9F" w:rsidR="002B4B5B" w:rsidRDefault="002B4B5B" w:rsidP="00907EDC"/>
    <w:p w14:paraId="381BEC99" w14:textId="77777777" w:rsidR="00911655" w:rsidRDefault="00911655" w:rsidP="00907EDC"/>
    <w:p w14:paraId="0EED5972" w14:textId="428D26CE" w:rsidR="002B4B5B" w:rsidRDefault="002B4B5B" w:rsidP="00907EDC"/>
    <w:p w14:paraId="3C16961C" w14:textId="498991E1" w:rsidR="002B4B5B" w:rsidRDefault="002B4B5B" w:rsidP="00907EDC"/>
    <w:p w14:paraId="3DAE392F" w14:textId="5FD48EBF" w:rsidR="002B4B5B" w:rsidRDefault="002B4B5B" w:rsidP="00907EDC"/>
    <w:p w14:paraId="78752AF2" w14:textId="41FD85E4" w:rsidR="002B4B5B" w:rsidRDefault="002B4B5B" w:rsidP="00907EDC"/>
    <w:p w14:paraId="36065EF6" w14:textId="2D75C2C2" w:rsidR="002B4B5B" w:rsidRDefault="002B4B5B" w:rsidP="00907EDC"/>
    <w:p w14:paraId="19BD5995" w14:textId="130E385F" w:rsidR="002B4B5B" w:rsidRDefault="002B4B5B" w:rsidP="00907EDC"/>
    <w:p w14:paraId="23954119" w14:textId="77777777" w:rsidR="001A78DC" w:rsidRDefault="001A78DC" w:rsidP="00907EDC"/>
    <w:p w14:paraId="0C53D3DA" w14:textId="62D76A26" w:rsidR="002B4B5B" w:rsidRDefault="002B4B5B" w:rsidP="00907EDC"/>
    <w:p w14:paraId="7D102086" w14:textId="77777777" w:rsidR="00F462B1" w:rsidRDefault="00F462B1" w:rsidP="00907EDC"/>
    <w:p w14:paraId="52700A04" w14:textId="2F3D1020" w:rsidR="002B4B5B" w:rsidRDefault="002B4B5B" w:rsidP="00907EDC"/>
    <w:p w14:paraId="54A058D7" w14:textId="267D194F" w:rsidR="002B4B5B" w:rsidRDefault="002B4B5B" w:rsidP="00907EDC"/>
    <w:p w14:paraId="6ED1257E" w14:textId="33ABBED3" w:rsidR="002B4B5B" w:rsidRPr="000B5A6E" w:rsidRDefault="002B4B5B" w:rsidP="00907EDC">
      <w:pPr>
        <w:rPr>
          <w:rFonts w:ascii="Myriad Pro Cond" w:hAnsi="Myriad Pro Cond"/>
          <w:color w:val="1BC34F"/>
          <w:sz w:val="44"/>
          <w:szCs w:val="44"/>
          <w:u w:val="single"/>
        </w:rPr>
      </w:pPr>
      <w:r w:rsidRPr="000B5A6E">
        <w:rPr>
          <w:rFonts w:ascii="Myriad Pro Cond" w:hAnsi="Myriad Pro Cond"/>
          <w:color w:val="1BC34F"/>
          <w:sz w:val="44"/>
          <w:szCs w:val="44"/>
          <w:u w:val="single"/>
        </w:rPr>
        <w:lastRenderedPageBreak/>
        <w:t>Introduction:</w:t>
      </w:r>
    </w:p>
    <w:p w14:paraId="644F378E" w14:textId="77777777" w:rsidR="002B4B5B" w:rsidRDefault="002B4B5B" w:rsidP="00907EDC"/>
    <w:p w14:paraId="53039C7D" w14:textId="77777777" w:rsidR="002B4B5B" w:rsidRPr="002B4B5B" w:rsidRDefault="002B4B5B" w:rsidP="00907EDC">
      <w:pPr>
        <w:pStyle w:val="NormalWeb"/>
        <w:spacing w:line="360" w:lineRule="auto"/>
        <w:rPr>
          <w:rFonts w:asciiTheme="minorHAnsi" w:hAnsiTheme="minorHAnsi" w:cstheme="minorHAnsi"/>
        </w:rPr>
      </w:pPr>
      <w:r w:rsidRPr="002B4B5B">
        <w:rPr>
          <w:rFonts w:asciiTheme="minorHAnsi" w:hAnsiTheme="minorHAnsi" w:cstheme="minorHAnsi"/>
        </w:rPr>
        <w:t>Over $2 billion has been raised using the massively successful crowdfunding service, Kickstarter, but not every project has found success. Of the more than 300,000 projects launched on Kickstarter, only a third have made it through the funding process with a positive outcome.</w:t>
      </w:r>
    </w:p>
    <w:p w14:paraId="4C97546E" w14:textId="77777777" w:rsidR="002B4B5B" w:rsidRPr="002B4B5B" w:rsidRDefault="002B4B5B" w:rsidP="00907EDC">
      <w:pPr>
        <w:pStyle w:val="NormalWeb"/>
        <w:spacing w:line="360" w:lineRule="auto"/>
        <w:rPr>
          <w:rFonts w:asciiTheme="minorHAnsi" w:hAnsiTheme="minorHAnsi" w:cstheme="minorHAnsi"/>
        </w:rPr>
      </w:pPr>
      <w:r w:rsidRPr="002B4B5B">
        <w:rPr>
          <w:rFonts w:asciiTheme="minorHAnsi" w:hAnsiTheme="minorHAnsi" w:cstheme="minorHAnsi"/>
        </w:rPr>
        <w:t>Getting funded on Kickstarter requires meeting or exceeding the project's initial goal, so many organizations spend months looking through past projects in an attempt to discover some trick for finding success. For this week's homework, you will organize and analyze a database of 4,000 past projects in order to uncover any hidden trends.</w:t>
      </w:r>
    </w:p>
    <w:p w14:paraId="50167FEC" w14:textId="16117EB8" w:rsidR="002B4B5B" w:rsidRDefault="002B4B5B" w:rsidP="00907EDC"/>
    <w:p w14:paraId="3837195C" w14:textId="34D4A0F6" w:rsidR="002B4B5B" w:rsidRDefault="002B4B5B" w:rsidP="00907EDC"/>
    <w:p w14:paraId="5C2FBC3B" w14:textId="2E550C7C" w:rsidR="002B4B5B" w:rsidRDefault="002B4B5B" w:rsidP="00907EDC"/>
    <w:p w14:paraId="0FCCBDDA" w14:textId="3C9C0EA4" w:rsidR="002B4B5B" w:rsidRDefault="002B4B5B" w:rsidP="00907EDC"/>
    <w:p w14:paraId="49EA7721" w14:textId="42E906C1" w:rsidR="002B4B5B" w:rsidRDefault="002B4B5B" w:rsidP="00907EDC"/>
    <w:p w14:paraId="00B4E4D2" w14:textId="36BB0370" w:rsidR="002B4B5B" w:rsidRDefault="002B4B5B" w:rsidP="00907EDC"/>
    <w:p w14:paraId="3F7FAD8A" w14:textId="203161E0" w:rsidR="002B4B5B" w:rsidRDefault="002B4B5B" w:rsidP="00907EDC"/>
    <w:p w14:paraId="21848094" w14:textId="73457C10" w:rsidR="002B4B5B" w:rsidRDefault="002B4B5B" w:rsidP="00907EDC"/>
    <w:p w14:paraId="4BB56AE5" w14:textId="09D2C16A" w:rsidR="002B4B5B" w:rsidRDefault="002B4B5B" w:rsidP="00907EDC"/>
    <w:p w14:paraId="7552BA66" w14:textId="01C5D26B" w:rsidR="002B4B5B" w:rsidRDefault="002B4B5B" w:rsidP="00907EDC"/>
    <w:p w14:paraId="1D2613FC" w14:textId="58D97E78" w:rsidR="002B4B5B" w:rsidRDefault="002B4B5B" w:rsidP="00907EDC"/>
    <w:p w14:paraId="2AD59CDC" w14:textId="5FEF608A" w:rsidR="002B4B5B" w:rsidRDefault="002B4B5B" w:rsidP="00907EDC"/>
    <w:p w14:paraId="7D5765F2" w14:textId="78C8D465" w:rsidR="002B4B5B" w:rsidRDefault="002B4B5B" w:rsidP="00907EDC"/>
    <w:p w14:paraId="4B892073" w14:textId="66AEBC0F" w:rsidR="00C0403C" w:rsidRDefault="00C0403C" w:rsidP="00907EDC"/>
    <w:p w14:paraId="587174F2" w14:textId="2FEF127B" w:rsidR="00C0403C" w:rsidRDefault="00C0403C" w:rsidP="00907EDC"/>
    <w:p w14:paraId="01A4CD95" w14:textId="77777777" w:rsidR="001A78DC" w:rsidRDefault="001A78DC" w:rsidP="00907EDC"/>
    <w:p w14:paraId="0A572921" w14:textId="4CD1806C" w:rsidR="00C0403C" w:rsidRDefault="00C0403C" w:rsidP="00907EDC"/>
    <w:p w14:paraId="1C389A3C" w14:textId="77777777" w:rsidR="00C0403C" w:rsidRDefault="00C0403C" w:rsidP="00907EDC"/>
    <w:p w14:paraId="3F357B7B" w14:textId="77777777" w:rsidR="002B4B5B" w:rsidRPr="000B5A6E" w:rsidRDefault="002B4B5B" w:rsidP="00907EDC">
      <w:pPr>
        <w:rPr>
          <w:rFonts w:ascii="Myriad Pro Cond" w:hAnsi="Myriad Pro Cond"/>
          <w:color w:val="1BC34F"/>
          <w:sz w:val="44"/>
          <w:szCs w:val="44"/>
          <w:u w:val="single"/>
        </w:rPr>
      </w:pPr>
      <w:r w:rsidRPr="000B5A6E">
        <w:rPr>
          <w:rFonts w:ascii="Myriad Pro Cond" w:hAnsi="Myriad Pro Cond"/>
          <w:color w:val="1BC34F"/>
          <w:sz w:val="44"/>
          <w:szCs w:val="44"/>
          <w:u w:val="single"/>
        </w:rPr>
        <w:lastRenderedPageBreak/>
        <w:t>Part 1: What are three conclusions possible about Kickstarter campaigns?</w:t>
      </w:r>
    </w:p>
    <w:p w14:paraId="5440C8ED" w14:textId="2BCFF785" w:rsidR="00911655" w:rsidRDefault="002A3629" w:rsidP="00907EDC">
      <w:pPr>
        <w:spacing w:line="360" w:lineRule="auto"/>
        <w:rPr>
          <w:sz w:val="24"/>
          <w:szCs w:val="24"/>
        </w:rPr>
      </w:pPr>
      <w:r w:rsidRPr="002A3629">
        <w:rPr>
          <w:sz w:val="24"/>
          <w:szCs w:val="24"/>
        </w:rPr>
        <w:t>From 2009 to 2017, 54% of the Kickstarter campaigns were more likely to be successful than to fail at 38% or get cancel at 8%. This the overall summary we can see when we study the dataset given. However, these numbers don’t reflect several conclusions that could be made about these campaigns.</w:t>
      </w:r>
    </w:p>
    <w:p w14:paraId="49EF0687" w14:textId="2CAF1837" w:rsidR="00247255" w:rsidRPr="00176D8F" w:rsidRDefault="00247255" w:rsidP="00907EDC">
      <w:pPr>
        <w:spacing w:line="360" w:lineRule="auto"/>
        <w:rPr>
          <w:rFonts w:ascii="Myriad Pro Cond" w:hAnsi="Myriad Pro Cond"/>
          <w:color w:val="1BC34F"/>
          <w:sz w:val="32"/>
          <w:szCs w:val="32"/>
        </w:rPr>
      </w:pPr>
      <w:r w:rsidRPr="00176D8F">
        <w:rPr>
          <w:rFonts w:ascii="Myriad Pro Cond" w:hAnsi="Myriad Pro Cond"/>
          <w:color w:val="1BC34F"/>
          <w:sz w:val="32"/>
          <w:szCs w:val="32"/>
        </w:rPr>
        <w:t>Some categories are more likely to succeed than others</w:t>
      </w:r>
    </w:p>
    <w:p w14:paraId="5C85B4D0" w14:textId="445052C0" w:rsidR="00911655" w:rsidRDefault="00911655" w:rsidP="00907EDC">
      <w:pPr>
        <w:spacing w:after="0" w:line="360" w:lineRule="auto"/>
        <w:rPr>
          <w:sz w:val="24"/>
          <w:szCs w:val="24"/>
        </w:rPr>
      </w:pPr>
      <w:r>
        <w:rPr>
          <w:sz w:val="24"/>
          <w:szCs w:val="24"/>
        </w:rPr>
        <w:t xml:space="preserve">When we look at the Figure 1, four major categories see more campaigns. The theater has 1393 campaigns, music has 700 campaigns, technology has 600 campaigns when film and videos have 520. If we put aside the technology category, because 65% of the campaigns are either canceled or failed, the three other categories have a better chance to succeed. </w:t>
      </w:r>
    </w:p>
    <w:p w14:paraId="06C61219" w14:textId="297E5740" w:rsidR="00911655" w:rsidRDefault="00E605E6" w:rsidP="00907EDC">
      <w:pPr>
        <w:spacing w:line="360" w:lineRule="auto"/>
        <w:rPr>
          <w:sz w:val="24"/>
          <w:szCs w:val="24"/>
        </w:rPr>
      </w:pPr>
      <w:r>
        <w:rPr>
          <w:noProof/>
        </w:rPr>
        <w:drawing>
          <wp:inline distT="0" distB="0" distL="0" distR="0" wp14:anchorId="7AAC32E0" wp14:editId="72A592F3">
            <wp:extent cx="5943600" cy="3514090"/>
            <wp:effectExtent l="0" t="0" r="0" b="10160"/>
            <wp:docPr id="2" name="Chart 2">
              <a:extLst xmlns:a="http://schemas.openxmlformats.org/drawingml/2006/main">
                <a:ext uri="{FF2B5EF4-FFF2-40B4-BE49-F238E27FC236}">
                  <a16:creationId xmlns:a16="http://schemas.microsoft.com/office/drawing/2014/main" id="{05B0A487-0263-41F4-9044-8162888B98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EE5F695" w14:textId="5E1CAA4F" w:rsidR="00E605E6" w:rsidRPr="00B60253" w:rsidRDefault="00E605E6" w:rsidP="00B60253">
      <w:pPr>
        <w:spacing w:line="240" w:lineRule="auto"/>
        <w:jc w:val="center"/>
        <w:rPr>
          <w:sz w:val="20"/>
          <w:szCs w:val="20"/>
        </w:rPr>
      </w:pPr>
      <w:r w:rsidRPr="00B60253">
        <w:rPr>
          <w:sz w:val="20"/>
          <w:szCs w:val="20"/>
        </w:rPr>
        <w:t xml:space="preserve">Figure 1: </w:t>
      </w:r>
      <w:r w:rsidRPr="00B60253">
        <w:rPr>
          <w:sz w:val="20"/>
          <w:szCs w:val="20"/>
        </w:rPr>
        <w:t>Count of state by category</w:t>
      </w:r>
    </w:p>
    <w:p w14:paraId="420770A0" w14:textId="3D630BE6" w:rsidR="00E605E6" w:rsidRDefault="00E605E6" w:rsidP="00907EDC">
      <w:pPr>
        <w:spacing w:line="360" w:lineRule="auto"/>
        <w:rPr>
          <w:sz w:val="24"/>
          <w:szCs w:val="24"/>
        </w:rPr>
      </w:pPr>
      <w:r>
        <w:rPr>
          <w:sz w:val="24"/>
          <w:szCs w:val="24"/>
        </w:rPr>
        <w:t>Music category has the highest success rate of 79%, which represent 25% of all successful campaigns through all nine categories in all countries.</w:t>
      </w:r>
    </w:p>
    <w:p w14:paraId="1BCC41A3" w14:textId="0B9D9B22" w:rsidR="00E605E6" w:rsidRDefault="00E605E6" w:rsidP="00907EDC">
      <w:pPr>
        <w:spacing w:line="360" w:lineRule="auto"/>
        <w:rPr>
          <w:sz w:val="24"/>
          <w:szCs w:val="24"/>
        </w:rPr>
      </w:pPr>
      <w:r>
        <w:rPr>
          <w:sz w:val="24"/>
          <w:szCs w:val="24"/>
        </w:rPr>
        <w:lastRenderedPageBreak/>
        <w:t xml:space="preserve">Then there is the theater category who comes with a successful rate of 61% and a total of 38% of all nine category in successful campaigns. By far is the largest category with 1393 campaigns, which is 34% of all campaigns in all nine categories. If music is more global, the theater campaign </w:t>
      </w:r>
      <w:r w:rsidR="009B4EBB">
        <w:rPr>
          <w:sz w:val="24"/>
          <w:szCs w:val="24"/>
        </w:rPr>
        <w:t>demonstrates</w:t>
      </w:r>
      <w:r w:rsidR="008C45B0">
        <w:rPr>
          <w:sz w:val="24"/>
          <w:szCs w:val="24"/>
        </w:rPr>
        <w:t xml:space="preserve"> geographical sensitivity especially in Great Britain and France</w:t>
      </w:r>
      <w:r w:rsidR="009B4EBB">
        <w:rPr>
          <w:sz w:val="24"/>
          <w:szCs w:val="24"/>
        </w:rPr>
        <w:t xml:space="preserve"> with a higher successful rate. </w:t>
      </w:r>
    </w:p>
    <w:p w14:paraId="3855149C" w14:textId="04378933" w:rsidR="009B4EBB" w:rsidRDefault="009B4EBB" w:rsidP="00907EDC">
      <w:pPr>
        <w:spacing w:line="360" w:lineRule="auto"/>
        <w:rPr>
          <w:sz w:val="24"/>
          <w:szCs w:val="24"/>
        </w:rPr>
      </w:pPr>
      <w:r>
        <w:rPr>
          <w:sz w:val="24"/>
          <w:szCs w:val="24"/>
        </w:rPr>
        <w:t>Last but not least, we have the film and video rubrics, which comes third with a success rate of 58% of 520 campaigns. This category has the same aspect as the theater in it is geographically sensitive with the United States having the most successful campaigns.</w:t>
      </w:r>
    </w:p>
    <w:p w14:paraId="2E4E1132" w14:textId="604486AB" w:rsidR="00911655" w:rsidRPr="000C209D" w:rsidRDefault="00911655" w:rsidP="00907EDC">
      <w:pPr>
        <w:spacing w:line="360" w:lineRule="auto"/>
        <w:rPr>
          <w:rFonts w:ascii="Myriad Pro Cond" w:hAnsi="Myriad Pro Cond"/>
          <w:color w:val="1BC34F"/>
          <w:sz w:val="32"/>
          <w:szCs w:val="32"/>
        </w:rPr>
      </w:pPr>
      <w:r w:rsidRPr="000C209D">
        <w:rPr>
          <w:rFonts w:ascii="Myriad Pro Cond" w:hAnsi="Myriad Pro Cond"/>
          <w:color w:val="1BC34F"/>
          <w:sz w:val="32"/>
          <w:szCs w:val="32"/>
        </w:rPr>
        <w:t>Some trends within these categorie</w:t>
      </w:r>
      <w:r w:rsidR="000C209D" w:rsidRPr="000C209D">
        <w:rPr>
          <w:rFonts w:ascii="Myriad Pro Cond" w:hAnsi="Myriad Pro Cond"/>
          <w:color w:val="1BC34F"/>
          <w:sz w:val="32"/>
          <w:szCs w:val="32"/>
        </w:rPr>
        <w:t>s</w:t>
      </w:r>
    </w:p>
    <w:p w14:paraId="01216C6A" w14:textId="4B426962" w:rsidR="000C209D" w:rsidRDefault="000C209D" w:rsidP="00907EDC">
      <w:pPr>
        <w:spacing w:line="360" w:lineRule="auto"/>
        <w:rPr>
          <w:sz w:val="24"/>
          <w:szCs w:val="24"/>
        </w:rPr>
      </w:pPr>
      <w:r>
        <w:rPr>
          <w:sz w:val="24"/>
          <w:szCs w:val="24"/>
        </w:rPr>
        <w:t xml:space="preserve">As we mentioned in the categories’ analysis, the theater, geographically sensitive, has a huge importance in the successful campaign by number: 1047 and ratio 66% of success. It is interesting to focus on the subcategories of the </w:t>
      </w:r>
      <w:r w:rsidR="0059667B">
        <w:rPr>
          <w:sz w:val="24"/>
          <w:szCs w:val="24"/>
        </w:rPr>
        <w:t>new technologies</w:t>
      </w:r>
      <w:r w:rsidR="0059667B">
        <w:rPr>
          <w:sz w:val="24"/>
          <w:szCs w:val="24"/>
        </w:rPr>
        <w:t xml:space="preserve"> </w:t>
      </w:r>
      <w:r>
        <w:rPr>
          <w:sz w:val="24"/>
          <w:szCs w:val="24"/>
        </w:rPr>
        <w:t xml:space="preserve">and the </w:t>
      </w:r>
      <w:r w:rsidR="0059667B">
        <w:rPr>
          <w:sz w:val="24"/>
          <w:szCs w:val="24"/>
        </w:rPr>
        <w:t>music</w:t>
      </w:r>
      <w:r>
        <w:rPr>
          <w:sz w:val="24"/>
          <w:szCs w:val="24"/>
        </w:rPr>
        <w:t xml:space="preserve">, both having total opposite success (Figure 2). </w:t>
      </w:r>
    </w:p>
    <w:p w14:paraId="23A6E58C" w14:textId="0D11BB88" w:rsidR="00911655" w:rsidRDefault="000C209D" w:rsidP="00907EDC">
      <w:pPr>
        <w:spacing w:line="360" w:lineRule="auto"/>
        <w:rPr>
          <w:sz w:val="24"/>
          <w:szCs w:val="24"/>
        </w:rPr>
      </w:pPr>
      <w:r>
        <w:rPr>
          <w:noProof/>
        </w:rPr>
        <w:drawing>
          <wp:inline distT="0" distB="0" distL="0" distR="0" wp14:anchorId="7C53F8CA" wp14:editId="14DBA132">
            <wp:extent cx="5943600" cy="3149600"/>
            <wp:effectExtent l="0" t="0" r="0" b="12700"/>
            <wp:docPr id="3" name="Chart 3">
              <a:extLst xmlns:a="http://schemas.openxmlformats.org/drawingml/2006/main">
                <a:ext uri="{FF2B5EF4-FFF2-40B4-BE49-F238E27FC236}">
                  <a16:creationId xmlns:a16="http://schemas.microsoft.com/office/drawing/2014/main" id="{F13FE262-E388-4CB2-98E9-31261E05B0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34009C6" w14:textId="0AD187E4" w:rsidR="000C209D" w:rsidRPr="00E605E6" w:rsidRDefault="000C209D" w:rsidP="00B60253">
      <w:pPr>
        <w:spacing w:line="240" w:lineRule="auto"/>
        <w:jc w:val="center"/>
        <w:rPr>
          <w:sz w:val="20"/>
          <w:szCs w:val="20"/>
        </w:rPr>
      </w:pPr>
      <w:r w:rsidRPr="00E605E6">
        <w:rPr>
          <w:sz w:val="20"/>
          <w:szCs w:val="20"/>
        </w:rPr>
        <w:t xml:space="preserve">Figure </w:t>
      </w:r>
      <w:r>
        <w:rPr>
          <w:sz w:val="20"/>
          <w:szCs w:val="20"/>
        </w:rPr>
        <w:t>2</w:t>
      </w:r>
      <w:r w:rsidRPr="00E605E6">
        <w:rPr>
          <w:sz w:val="20"/>
          <w:szCs w:val="20"/>
        </w:rPr>
        <w:t xml:space="preserve">: Count of state by </w:t>
      </w:r>
      <w:r>
        <w:rPr>
          <w:sz w:val="20"/>
          <w:szCs w:val="20"/>
        </w:rPr>
        <w:t>sub-</w:t>
      </w:r>
      <w:r w:rsidRPr="00E605E6">
        <w:rPr>
          <w:sz w:val="20"/>
          <w:szCs w:val="20"/>
        </w:rPr>
        <w:t>category</w:t>
      </w:r>
    </w:p>
    <w:p w14:paraId="10D6FDA6" w14:textId="77777777" w:rsidR="000C209D" w:rsidRDefault="000C209D" w:rsidP="00907EDC">
      <w:pPr>
        <w:spacing w:line="360" w:lineRule="auto"/>
        <w:rPr>
          <w:sz w:val="24"/>
          <w:szCs w:val="24"/>
        </w:rPr>
      </w:pPr>
    </w:p>
    <w:p w14:paraId="5EB427B1" w14:textId="71191BAE" w:rsidR="005A2B91" w:rsidRDefault="00312464" w:rsidP="00907EDC">
      <w:pPr>
        <w:spacing w:line="360" w:lineRule="auto"/>
        <w:rPr>
          <w:sz w:val="24"/>
          <w:szCs w:val="24"/>
        </w:rPr>
      </w:pPr>
      <w:r>
        <w:rPr>
          <w:sz w:val="24"/>
          <w:szCs w:val="24"/>
        </w:rPr>
        <w:lastRenderedPageBreak/>
        <w:t>The technology</w:t>
      </w:r>
      <w:r w:rsidR="005A2B91">
        <w:rPr>
          <w:sz w:val="24"/>
          <w:szCs w:val="24"/>
        </w:rPr>
        <w:t xml:space="preserve"> category, which regroups video games, web, animation, space exploration, doesn’t have a such success even though we are at a crossroad currently. This lake on engagement in funding campaigns is because most the investment is done by companies. In a 2019 survey, KPMG’s result show that 84% of start-up, 59% of mid-market and 40% of large enterprises invest 0 to 9.9 million dollars</w:t>
      </w:r>
      <w:r w:rsidR="002F79EE">
        <w:rPr>
          <w:rStyle w:val="FootnoteReference"/>
          <w:sz w:val="24"/>
          <w:szCs w:val="24"/>
        </w:rPr>
        <w:footnoteReference w:id="1"/>
      </w:r>
      <w:r w:rsidR="005A2B91">
        <w:rPr>
          <w:sz w:val="24"/>
          <w:szCs w:val="24"/>
        </w:rPr>
        <w:t xml:space="preserve">. </w:t>
      </w:r>
      <w:r w:rsidR="00BD38EC">
        <w:rPr>
          <w:sz w:val="24"/>
          <w:szCs w:val="24"/>
        </w:rPr>
        <w:t>A</w:t>
      </w:r>
      <w:r w:rsidR="005A2B91">
        <w:rPr>
          <w:sz w:val="24"/>
          <w:szCs w:val="24"/>
        </w:rPr>
        <w:t xml:space="preserve"> survey like this could </w:t>
      </w:r>
      <w:r w:rsidR="00BD38EC">
        <w:rPr>
          <w:sz w:val="24"/>
          <w:szCs w:val="24"/>
        </w:rPr>
        <w:t xml:space="preserve">then </w:t>
      </w:r>
      <w:r w:rsidR="005A2B91">
        <w:rPr>
          <w:sz w:val="24"/>
          <w:szCs w:val="24"/>
        </w:rPr>
        <w:t>explain why there is no such room for success in the technology category</w:t>
      </w:r>
      <w:r w:rsidR="00874A8E">
        <w:rPr>
          <w:sz w:val="24"/>
          <w:szCs w:val="24"/>
        </w:rPr>
        <w:t xml:space="preserve"> with a 100% failure or cancelation</w:t>
      </w:r>
      <w:r w:rsidR="005A2B91">
        <w:rPr>
          <w:sz w:val="24"/>
          <w:szCs w:val="24"/>
        </w:rPr>
        <w:t>.</w:t>
      </w:r>
    </w:p>
    <w:p w14:paraId="419A6CAA" w14:textId="75AC37AF" w:rsidR="00B7055E" w:rsidRDefault="007A2F0A" w:rsidP="00907EDC">
      <w:pPr>
        <w:spacing w:line="360" w:lineRule="auto"/>
        <w:rPr>
          <w:sz w:val="24"/>
          <w:szCs w:val="24"/>
        </w:rPr>
      </w:pPr>
      <w:r>
        <w:rPr>
          <w:sz w:val="24"/>
          <w:szCs w:val="24"/>
        </w:rPr>
        <w:t>Music is widely and globally successful with a 100% rate for the sub-category in classical music, electronic music, metal, pop, radio podcasts, rock.</w:t>
      </w:r>
      <w:r w:rsidR="00793216">
        <w:rPr>
          <w:sz w:val="24"/>
          <w:szCs w:val="24"/>
        </w:rPr>
        <w:t xml:space="preserve"> Only the Jazz has a 100% failure rate. We might explain this result by the independent labels and </w:t>
      </w:r>
      <w:r w:rsidR="00EA41D7">
        <w:rPr>
          <w:sz w:val="24"/>
          <w:szCs w:val="24"/>
        </w:rPr>
        <w:t>the popularity of the music genre</w:t>
      </w:r>
      <w:r w:rsidR="00793216">
        <w:rPr>
          <w:sz w:val="24"/>
          <w:szCs w:val="24"/>
        </w:rPr>
        <w:t>. Independent record labels don’t have the budget of big label such as Sony or Universal. In 2017, a study showed the independent labels represented 39.9% of all the music industry</w:t>
      </w:r>
      <w:r w:rsidR="004F661E">
        <w:rPr>
          <w:rStyle w:val="FootnoteReference"/>
          <w:sz w:val="24"/>
          <w:szCs w:val="24"/>
        </w:rPr>
        <w:footnoteReference w:id="2"/>
      </w:r>
      <w:r w:rsidR="00793216">
        <w:rPr>
          <w:sz w:val="24"/>
          <w:szCs w:val="24"/>
        </w:rPr>
        <w:t xml:space="preserve">. </w:t>
      </w:r>
      <w:r w:rsidR="00692FDB">
        <w:rPr>
          <w:sz w:val="24"/>
          <w:szCs w:val="24"/>
        </w:rPr>
        <w:t>The</w:t>
      </w:r>
      <w:r w:rsidR="00793216">
        <w:rPr>
          <w:sz w:val="24"/>
          <w:szCs w:val="24"/>
        </w:rPr>
        <w:t xml:space="preserve"> increasingly number of independent labels could be one of the reasons why Kickstarter campaigns would be so popular and successful.</w:t>
      </w:r>
      <w:r w:rsidR="00B7055E">
        <w:rPr>
          <w:sz w:val="24"/>
          <w:szCs w:val="24"/>
        </w:rPr>
        <w:t xml:space="preserve"> </w:t>
      </w:r>
    </w:p>
    <w:p w14:paraId="70052629" w14:textId="65C6F2A4" w:rsidR="00EA41D7" w:rsidRDefault="00B7055E" w:rsidP="00907EDC">
      <w:pPr>
        <w:spacing w:line="360" w:lineRule="auto"/>
        <w:rPr>
          <w:sz w:val="24"/>
          <w:szCs w:val="24"/>
        </w:rPr>
      </w:pPr>
      <w:r>
        <w:rPr>
          <w:sz w:val="24"/>
          <w:szCs w:val="24"/>
        </w:rPr>
        <w:t xml:space="preserve">All the music categories have a real success except the jazz when comes fundraiser campaigns. One of the reasons is Jazz come only </w:t>
      </w:r>
      <w:r w:rsidR="00EA41D7">
        <w:rPr>
          <w:sz w:val="24"/>
          <w:szCs w:val="24"/>
        </w:rPr>
        <w:t>in seventh position in a survey made in 2018 on Music genres preferred by consumers in the United States</w:t>
      </w:r>
      <w:r w:rsidR="00EA41D7">
        <w:rPr>
          <w:rStyle w:val="FootnoteReference"/>
          <w:sz w:val="24"/>
          <w:szCs w:val="24"/>
        </w:rPr>
        <w:footnoteReference w:id="3"/>
      </w:r>
      <w:r w:rsidR="00EA41D7">
        <w:rPr>
          <w:sz w:val="24"/>
          <w:szCs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0"/>
        <w:gridCol w:w="3698"/>
      </w:tblGrid>
      <w:tr w:rsidR="00EA41D7" w14:paraId="3D236095" w14:textId="77777777" w:rsidTr="00F462B1">
        <w:trPr>
          <w:jc w:val="center"/>
        </w:trPr>
        <w:tc>
          <w:tcPr>
            <w:tcW w:w="0" w:type="auto"/>
            <w:shd w:val="clear" w:color="auto" w:fill="D9D9D9" w:themeFill="background1" w:themeFillShade="D9"/>
            <w:vAlign w:val="center"/>
          </w:tcPr>
          <w:p w14:paraId="4B87AF69" w14:textId="5DABFA54" w:rsidR="00EA41D7" w:rsidRPr="00EA41D7" w:rsidRDefault="00EA41D7" w:rsidP="00F462B1">
            <w:pPr>
              <w:spacing w:line="360" w:lineRule="auto"/>
              <w:jc w:val="center"/>
              <w:rPr>
                <w:sz w:val="20"/>
                <w:szCs w:val="20"/>
              </w:rPr>
            </w:pPr>
            <w:r w:rsidRPr="00EA41D7">
              <w:rPr>
                <w:sz w:val="20"/>
                <w:szCs w:val="20"/>
              </w:rPr>
              <w:t>Music genre</w:t>
            </w:r>
          </w:p>
        </w:tc>
        <w:tc>
          <w:tcPr>
            <w:tcW w:w="0" w:type="auto"/>
            <w:shd w:val="clear" w:color="auto" w:fill="D9D9D9" w:themeFill="background1" w:themeFillShade="D9"/>
            <w:vAlign w:val="center"/>
          </w:tcPr>
          <w:p w14:paraId="2F612709" w14:textId="0D7283F4" w:rsidR="00EA41D7" w:rsidRPr="00EA41D7" w:rsidRDefault="00EA41D7" w:rsidP="00F462B1">
            <w:pPr>
              <w:spacing w:line="360" w:lineRule="auto"/>
              <w:jc w:val="center"/>
              <w:rPr>
                <w:sz w:val="20"/>
                <w:szCs w:val="20"/>
              </w:rPr>
            </w:pPr>
            <w:r w:rsidRPr="00EA41D7">
              <w:rPr>
                <w:sz w:val="20"/>
                <w:szCs w:val="20"/>
              </w:rPr>
              <w:t>Percentage of population</w:t>
            </w:r>
          </w:p>
        </w:tc>
      </w:tr>
      <w:tr w:rsidR="00EA41D7" w14:paraId="774E48D6" w14:textId="77777777" w:rsidTr="00F462B1">
        <w:trPr>
          <w:jc w:val="center"/>
        </w:trPr>
        <w:tc>
          <w:tcPr>
            <w:tcW w:w="0" w:type="auto"/>
            <w:tcBorders>
              <w:bottom w:val="single" w:sz="4" w:space="0" w:color="auto"/>
            </w:tcBorders>
            <w:vAlign w:val="center"/>
          </w:tcPr>
          <w:p w14:paraId="113D0594" w14:textId="5410E8A0" w:rsidR="00EA41D7" w:rsidRPr="00EA41D7" w:rsidRDefault="00EA41D7" w:rsidP="00F462B1">
            <w:pPr>
              <w:spacing w:line="360" w:lineRule="auto"/>
              <w:jc w:val="center"/>
              <w:rPr>
                <w:sz w:val="20"/>
                <w:szCs w:val="20"/>
              </w:rPr>
            </w:pPr>
            <w:r w:rsidRPr="00EA41D7">
              <w:rPr>
                <w:sz w:val="20"/>
                <w:szCs w:val="20"/>
              </w:rPr>
              <w:t>Rock</w:t>
            </w:r>
          </w:p>
        </w:tc>
        <w:tc>
          <w:tcPr>
            <w:tcW w:w="0" w:type="auto"/>
            <w:tcBorders>
              <w:bottom w:val="single" w:sz="4" w:space="0" w:color="auto"/>
            </w:tcBorders>
            <w:vAlign w:val="center"/>
          </w:tcPr>
          <w:p w14:paraId="6D0BC33F" w14:textId="27187165" w:rsidR="00EA41D7" w:rsidRPr="00EA41D7" w:rsidRDefault="00EA41D7" w:rsidP="00F462B1">
            <w:pPr>
              <w:spacing w:line="360" w:lineRule="auto"/>
              <w:jc w:val="center"/>
              <w:rPr>
                <w:sz w:val="20"/>
                <w:szCs w:val="20"/>
              </w:rPr>
            </w:pPr>
            <w:r w:rsidRPr="00EA41D7">
              <w:rPr>
                <w:sz w:val="20"/>
                <w:szCs w:val="20"/>
              </w:rPr>
              <w:t>56.8%</w:t>
            </w:r>
          </w:p>
        </w:tc>
      </w:tr>
      <w:tr w:rsidR="00EA41D7" w14:paraId="614007D6" w14:textId="77777777" w:rsidTr="00F462B1">
        <w:trPr>
          <w:jc w:val="center"/>
        </w:trPr>
        <w:tc>
          <w:tcPr>
            <w:tcW w:w="0" w:type="auto"/>
            <w:tcBorders>
              <w:top w:val="single" w:sz="4" w:space="0" w:color="auto"/>
              <w:bottom w:val="single" w:sz="4" w:space="0" w:color="auto"/>
            </w:tcBorders>
            <w:shd w:val="clear" w:color="auto" w:fill="F2F2F2" w:themeFill="background1" w:themeFillShade="F2"/>
            <w:vAlign w:val="center"/>
          </w:tcPr>
          <w:p w14:paraId="114D2AD0" w14:textId="048015FD" w:rsidR="00EA41D7" w:rsidRPr="00EA41D7" w:rsidRDefault="00EA41D7" w:rsidP="00F462B1">
            <w:pPr>
              <w:spacing w:line="360" w:lineRule="auto"/>
              <w:jc w:val="center"/>
              <w:rPr>
                <w:sz w:val="20"/>
                <w:szCs w:val="20"/>
              </w:rPr>
            </w:pPr>
            <w:r w:rsidRPr="00EA41D7">
              <w:rPr>
                <w:sz w:val="20"/>
                <w:szCs w:val="20"/>
              </w:rPr>
              <w:t>Pop</w:t>
            </w:r>
          </w:p>
        </w:tc>
        <w:tc>
          <w:tcPr>
            <w:tcW w:w="0" w:type="auto"/>
            <w:tcBorders>
              <w:top w:val="single" w:sz="4" w:space="0" w:color="auto"/>
              <w:bottom w:val="single" w:sz="4" w:space="0" w:color="auto"/>
            </w:tcBorders>
            <w:shd w:val="clear" w:color="auto" w:fill="F2F2F2" w:themeFill="background1" w:themeFillShade="F2"/>
            <w:vAlign w:val="center"/>
          </w:tcPr>
          <w:p w14:paraId="587024C9" w14:textId="6BBB98A0" w:rsidR="00EA41D7" w:rsidRPr="00EA41D7" w:rsidRDefault="00EA41D7" w:rsidP="00F462B1">
            <w:pPr>
              <w:spacing w:line="360" w:lineRule="auto"/>
              <w:jc w:val="center"/>
              <w:rPr>
                <w:sz w:val="20"/>
                <w:szCs w:val="20"/>
              </w:rPr>
            </w:pPr>
            <w:r w:rsidRPr="00EA41D7">
              <w:rPr>
                <w:sz w:val="20"/>
                <w:szCs w:val="20"/>
              </w:rPr>
              <w:t>56.1%</w:t>
            </w:r>
          </w:p>
        </w:tc>
      </w:tr>
      <w:tr w:rsidR="00EA41D7" w14:paraId="52D45E76" w14:textId="77777777" w:rsidTr="00F462B1">
        <w:trPr>
          <w:jc w:val="center"/>
        </w:trPr>
        <w:tc>
          <w:tcPr>
            <w:tcW w:w="0" w:type="auto"/>
            <w:tcBorders>
              <w:top w:val="single" w:sz="4" w:space="0" w:color="auto"/>
              <w:bottom w:val="single" w:sz="4" w:space="0" w:color="auto"/>
            </w:tcBorders>
            <w:vAlign w:val="center"/>
          </w:tcPr>
          <w:p w14:paraId="70798E42" w14:textId="194BF785" w:rsidR="00EA41D7" w:rsidRPr="00EA41D7" w:rsidRDefault="00EA41D7" w:rsidP="00F462B1">
            <w:pPr>
              <w:spacing w:line="360" w:lineRule="auto"/>
              <w:jc w:val="center"/>
              <w:rPr>
                <w:sz w:val="20"/>
                <w:szCs w:val="20"/>
              </w:rPr>
            </w:pPr>
            <w:r w:rsidRPr="00EA41D7">
              <w:rPr>
                <w:sz w:val="20"/>
                <w:szCs w:val="20"/>
              </w:rPr>
              <w:t>Country</w:t>
            </w:r>
          </w:p>
        </w:tc>
        <w:tc>
          <w:tcPr>
            <w:tcW w:w="0" w:type="auto"/>
            <w:tcBorders>
              <w:top w:val="single" w:sz="4" w:space="0" w:color="auto"/>
              <w:bottom w:val="single" w:sz="4" w:space="0" w:color="auto"/>
            </w:tcBorders>
            <w:vAlign w:val="center"/>
          </w:tcPr>
          <w:p w14:paraId="02535AF0" w14:textId="107960F1" w:rsidR="00EA41D7" w:rsidRPr="00EA41D7" w:rsidRDefault="00EA41D7" w:rsidP="00F462B1">
            <w:pPr>
              <w:spacing w:line="360" w:lineRule="auto"/>
              <w:jc w:val="center"/>
              <w:rPr>
                <w:sz w:val="20"/>
                <w:szCs w:val="20"/>
              </w:rPr>
            </w:pPr>
            <w:r w:rsidRPr="00EA41D7">
              <w:rPr>
                <w:sz w:val="20"/>
                <w:szCs w:val="20"/>
              </w:rPr>
              <w:t>49.9%</w:t>
            </w:r>
          </w:p>
        </w:tc>
      </w:tr>
      <w:tr w:rsidR="00EA41D7" w14:paraId="076FD816" w14:textId="77777777" w:rsidTr="00F462B1">
        <w:trPr>
          <w:jc w:val="center"/>
        </w:trPr>
        <w:tc>
          <w:tcPr>
            <w:tcW w:w="0" w:type="auto"/>
            <w:tcBorders>
              <w:top w:val="single" w:sz="4" w:space="0" w:color="auto"/>
              <w:bottom w:val="single" w:sz="4" w:space="0" w:color="auto"/>
            </w:tcBorders>
            <w:shd w:val="clear" w:color="auto" w:fill="F2F2F2" w:themeFill="background1" w:themeFillShade="F2"/>
            <w:vAlign w:val="center"/>
          </w:tcPr>
          <w:p w14:paraId="3838B454" w14:textId="5A2F141D" w:rsidR="00EA41D7" w:rsidRPr="00EA41D7" w:rsidRDefault="00EA41D7" w:rsidP="00F462B1">
            <w:pPr>
              <w:spacing w:line="360" w:lineRule="auto"/>
              <w:jc w:val="center"/>
              <w:rPr>
                <w:sz w:val="20"/>
                <w:szCs w:val="20"/>
              </w:rPr>
            </w:pPr>
            <w:r w:rsidRPr="00EA41D7">
              <w:rPr>
                <w:sz w:val="20"/>
                <w:szCs w:val="20"/>
              </w:rPr>
              <w:t>R&amp;B and Soul</w:t>
            </w:r>
          </w:p>
        </w:tc>
        <w:tc>
          <w:tcPr>
            <w:tcW w:w="0" w:type="auto"/>
            <w:tcBorders>
              <w:top w:val="single" w:sz="4" w:space="0" w:color="auto"/>
              <w:bottom w:val="single" w:sz="4" w:space="0" w:color="auto"/>
            </w:tcBorders>
            <w:shd w:val="clear" w:color="auto" w:fill="F2F2F2" w:themeFill="background1" w:themeFillShade="F2"/>
            <w:vAlign w:val="center"/>
          </w:tcPr>
          <w:p w14:paraId="726AD4BA" w14:textId="11BAD126" w:rsidR="00EA41D7" w:rsidRPr="00EA41D7" w:rsidRDefault="00EA41D7" w:rsidP="00F462B1">
            <w:pPr>
              <w:spacing w:line="360" w:lineRule="auto"/>
              <w:jc w:val="center"/>
              <w:rPr>
                <w:sz w:val="20"/>
                <w:szCs w:val="20"/>
              </w:rPr>
            </w:pPr>
            <w:r w:rsidRPr="00EA41D7">
              <w:rPr>
                <w:sz w:val="20"/>
                <w:szCs w:val="20"/>
              </w:rPr>
              <w:t>38.9%</w:t>
            </w:r>
          </w:p>
        </w:tc>
      </w:tr>
      <w:tr w:rsidR="00EA41D7" w14:paraId="5546E8BA" w14:textId="77777777" w:rsidTr="00F462B1">
        <w:trPr>
          <w:jc w:val="center"/>
        </w:trPr>
        <w:tc>
          <w:tcPr>
            <w:tcW w:w="0" w:type="auto"/>
            <w:tcBorders>
              <w:top w:val="single" w:sz="4" w:space="0" w:color="auto"/>
              <w:bottom w:val="single" w:sz="4" w:space="0" w:color="auto"/>
            </w:tcBorders>
            <w:vAlign w:val="center"/>
          </w:tcPr>
          <w:p w14:paraId="68C188D9" w14:textId="4DC04474" w:rsidR="00EA41D7" w:rsidRPr="00EA41D7" w:rsidRDefault="00EA41D7" w:rsidP="00F462B1">
            <w:pPr>
              <w:spacing w:line="360" w:lineRule="auto"/>
              <w:jc w:val="center"/>
              <w:rPr>
                <w:sz w:val="20"/>
                <w:szCs w:val="20"/>
              </w:rPr>
            </w:pPr>
            <w:r w:rsidRPr="00EA41D7">
              <w:rPr>
                <w:sz w:val="20"/>
                <w:szCs w:val="20"/>
              </w:rPr>
              <w:t>Hip Hop</w:t>
            </w:r>
          </w:p>
        </w:tc>
        <w:tc>
          <w:tcPr>
            <w:tcW w:w="0" w:type="auto"/>
            <w:tcBorders>
              <w:top w:val="single" w:sz="4" w:space="0" w:color="auto"/>
              <w:bottom w:val="single" w:sz="4" w:space="0" w:color="auto"/>
            </w:tcBorders>
            <w:vAlign w:val="center"/>
          </w:tcPr>
          <w:p w14:paraId="63ABEA43" w14:textId="269CB93E" w:rsidR="00EA41D7" w:rsidRPr="00EA41D7" w:rsidRDefault="00EA41D7" w:rsidP="00F462B1">
            <w:pPr>
              <w:spacing w:line="360" w:lineRule="auto"/>
              <w:jc w:val="center"/>
              <w:rPr>
                <w:sz w:val="20"/>
                <w:szCs w:val="20"/>
              </w:rPr>
            </w:pPr>
            <w:r w:rsidRPr="00EA41D7">
              <w:rPr>
                <w:sz w:val="20"/>
                <w:szCs w:val="20"/>
              </w:rPr>
              <w:t>37.4%</w:t>
            </w:r>
          </w:p>
        </w:tc>
      </w:tr>
      <w:tr w:rsidR="00EA41D7" w14:paraId="34705165" w14:textId="77777777" w:rsidTr="00F462B1">
        <w:trPr>
          <w:jc w:val="center"/>
        </w:trPr>
        <w:tc>
          <w:tcPr>
            <w:tcW w:w="0" w:type="auto"/>
            <w:tcBorders>
              <w:top w:val="single" w:sz="4" w:space="0" w:color="auto"/>
              <w:bottom w:val="single" w:sz="4" w:space="0" w:color="auto"/>
            </w:tcBorders>
            <w:shd w:val="clear" w:color="auto" w:fill="F2F2F2" w:themeFill="background1" w:themeFillShade="F2"/>
            <w:vAlign w:val="center"/>
          </w:tcPr>
          <w:p w14:paraId="1C5AFFFD" w14:textId="691566BA" w:rsidR="00EA41D7" w:rsidRPr="00EA41D7" w:rsidRDefault="00EA41D7" w:rsidP="00F462B1">
            <w:pPr>
              <w:spacing w:line="360" w:lineRule="auto"/>
              <w:jc w:val="center"/>
              <w:rPr>
                <w:sz w:val="20"/>
                <w:szCs w:val="20"/>
              </w:rPr>
            </w:pPr>
            <w:r w:rsidRPr="00EA41D7">
              <w:rPr>
                <w:sz w:val="20"/>
                <w:szCs w:val="20"/>
              </w:rPr>
              <w:t>Easy Listening</w:t>
            </w:r>
          </w:p>
        </w:tc>
        <w:tc>
          <w:tcPr>
            <w:tcW w:w="0" w:type="auto"/>
            <w:tcBorders>
              <w:top w:val="single" w:sz="4" w:space="0" w:color="auto"/>
              <w:bottom w:val="single" w:sz="4" w:space="0" w:color="auto"/>
            </w:tcBorders>
            <w:shd w:val="clear" w:color="auto" w:fill="F2F2F2" w:themeFill="background1" w:themeFillShade="F2"/>
            <w:vAlign w:val="center"/>
          </w:tcPr>
          <w:p w14:paraId="6A1B4D45" w14:textId="46FB4342" w:rsidR="00EA41D7" w:rsidRPr="00EA41D7" w:rsidRDefault="00EA41D7" w:rsidP="00F462B1">
            <w:pPr>
              <w:spacing w:line="360" w:lineRule="auto"/>
              <w:jc w:val="center"/>
              <w:rPr>
                <w:sz w:val="20"/>
                <w:szCs w:val="20"/>
              </w:rPr>
            </w:pPr>
            <w:r w:rsidRPr="00EA41D7">
              <w:rPr>
                <w:sz w:val="20"/>
                <w:szCs w:val="20"/>
              </w:rPr>
              <w:t>32.7%</w:t>
            </w:r>
          </w:p>
        </w:tc>
      </w:tr>
      <w:tr w:rsidR="00EA41D7" w14:paraId="316C67FE" w14:textId="77777777" w:rsidTr="00F462B1">
        <w:trPr>
          <w:jc w:val="center"/>
        </w:trPr>
        <w:tc>
          <w:tcPr>
            <w:tcW w:w="0" w:type="auto"/>
            <w:tcBorders>
              <w:top w:val="single" w:sz="4" w:space="0" w:color="auto"/>
              <w:bottom w:val="single" w:sz="4" w:space="0" w:color="auto"/>
            </w:tcBorders>
            <w:vAlign w:val="center"/>
          </w:tcPr>
          <w:p w14:paraId="53EF56CC" w14:textId="14E5FC79" w:rsidR="00EA41D7" w:rsidRPr="00EA41D7" w:rsidRDefault="00EA41D7" w:rsidP="00F462B1">
            <w:pPr>
              <w:spacing w:line="360" w:lineRule="auto"/>
              <w:jc w:val="center"/>
              <w:rPr>
                <w:sz w:val="20"/>
                <w:szCs w:val="20"/>
              </w:rPr>
            </w:pPr>
            <w:r w:rsidRPr="00EA41D7">
              <w:rPr>
                <w:sz w:val="20"/>
                <w:szCs w:val="20"/>
              </w:rPr>
              <w:t>Electronic/dance</w:t>
            </w:r>
          </w:p>
        </w:tc>
        <w:tc>
          <w:tcPr>
            <w:tcW w:w="0" w:type="auto"/>
            <w:tcBorders>
              <w:top w:val="single" w:sz="4" w:space="0" w:color="auto"/>
              <w:bottom w:val="single" w:sz="4" w:space="0" w:color="auto"/>
            </w:tcBorders>
            <w:vAlign w:val="center"/>
          </w:tcPr>
          <w:p w14:paraId="1FE1B869" w14:textId="47E62298" w:rsidR="00EA41D7" w:rsidRPr="00EA41D7" w:rsidRDefault="00EA41D7" w:rsidP="00F462B1">
            <w:pPr>
              <w:spacing w:line="360" w:lineRule="auto"/>
              <w:jc w:val="center"/>
              <w:rPr>
                <w:sz w:val="20"/>
                <w:szCs w:val="20"/>
              </w:rPr>
            </w:pPr>
            <w:r w:rsidRPr="00EA41D7">
              <w:rPr>
                <w:sz w:val="20"/>
                <w:szCs w:val="20"/>
              </w:rPr>
              <w:t>20.6%</w:t>
            </w:r>
          </w:p>
        </w:tc>
      </w:tr>
      <w:tr w:rsidR="00EA41D7" w14:paraId="74C4B8D6" w14:textId="77777777" w:rsidTr="00F462B1">
        <w:trPr>
          <w:jc w:val="center"/>
        </w:trPr>
        <w:tc>
          <w:tcPr>
            <w:tcW w:w="0" w:type="auto"/>
            <w:tcBorders>
              <w:top w:val="single" w:sz="4" w:space="0" w:color="auto"/>
              <w:bottom w:val="single" w:sz="4" w:space="0" w:color="auto"/>
            </w:tcBorders>
            <w:shd w:val="clear" w:color="auto" w:fill="F2F2F2" w:themeFill="background1" w:themeFillShade="F2"/>
            <w:vAlign w:val="center"/>
          </w:tcPr>
          <w:p w14:paraId="0B3F54F0" w14:textId="250ED1FE" w:rsidR="00EA41D7" w:rsidRPr="00EA41D7" w:rsidRDefault="00EA41D7" w:rsidP="00F462B1">
            <w:pPr>
              <w:spacing w:line="360" w:lineRule="auto"/>
              <w:jc w:val="center"/>
              <w:rPr>
                <w:sz w:val="20"/>
                <w:szCs w:val="20"/>
              </w:rPr>
            </w:pPr>
            <w:r w:rsidRPr="00EA41D7">
              <w:rPr>
                <w:sz w:val="20"/>
                <w:szCs w:val="20"/>
              </w:rPr>
              <w:t>Jazz</w:t>
            </w:r>
          </w:p>
        </w:tc>
        <w:tc>
          <w:tcPr>
            <w:tcW w:w="0" w:type="auto"/>
            <w:tcBorders>
              <w:top w:val="single" w:sz="4" w:space="0" w:color="auto"/>
              <w:bottom w:val="single" w:sz="4" w:space="0" w:color="auto"/>
            </w:tcBorders>
            <w:shd w:val="clear" w:color="auto" w:fill="F2F2F2" w:themeFill="background1" w:themeFillShade="F2"/>
            <w:vAlign w:val="center"/>
          </w:tcPr>
          <w:p w14:paraId="17AA211B" w14:textId="68D0BBC8" w:rsidR="00EA41D7" w:rsidRPr="00EA41D7" w:rsidRDefault="00EA41D7" w:rsidP="00F462B1">
            <w:pPr>
              <w:spacing w:line="360" w:lineRule="auto"/>
              <w:jc w:val="center"/>
              <w:rPr>
                <w:sz w:val="20"/>
                <w:szCs w:val="20"/>
              </w:rPr>
            </w:pPr>
            <w:r w:rsidRPr="00EA41D7">
              <w:rPr>
                <w:sz w:val="20"/>
                <w:szCs w:val="20"/>
              </w:rPr>
              <w:t>20.2%</w:t>
            </w:r>
          </w:p>
        </w:tc>
      </w:tr>
      <w:tr w:rsidR="00EA41D7" w14:paraId="49E50AE2" w14:textId="77777777" w:rsidTr="00EA41D7">
        <w:trPr>
          <w:jc w:val="center"/>
        </w:trPr>
        <w:tc>
          <w:tcPr>
            <w:tcW w:w="0" w:type="auto"/>
            <w:gridSpan w:val="2"/>
            <w:tcBorders>
              <w:top w:val="single" w:sz="4" w:space="0" w:color="auto"/>
            </w:tcBorders>
            <w:shd w:val="clear" w:color="auto" w:fill="FFFFFF" w:themeFill="background1"/>
            <w:vAlign w:val="center"/>
          </w:tcPr>
          <w:p w14:paraId="393BE5A0" w14:textId="3362864C" w:rsidR="00EA41D7" w:rsidRPr="00EA41D7" w:rsidRDefault="00EA41D7" w:rsidP="00907EDC">
            <w:pPr>
              <w:spacing w:after="160"/>
              <w:rPr>
                <w:sz w:val="20"/>
                <w:szCs w:val="20"/>
              </w:rPr>
            </w:pPr>
            <w:r w:rsidRPr="00EA41D7">
              <w:rPr>
                <w:sz w:val="20"/>
                <w:szCs w:val="20"/>
              </w:rPr>
              <w:t>Table 1: Music genres preferred by consumers in the United States in 2018</w:t>
            </w:r>
          </w:p>
        </w:tc>
      </w:tr>
    </w:tbl>
    <w:p w14:paraId="1CB5AC89" w14:textId="3A1B4848" w:rsidR="00B7055E" w:rsidRPr="00B7055E" w:rsidRDefault="007F16FB" w:rsidP="00907EDC">
      <w:pPr>
        <w:spacing w:line="360" w:lineRule="auto"/>
        <w:rPr>
          <w:sz w:val="24"/>
          <w:szCs w:val="24"/>
        </w:rPr>
      </w:pPr>
      <w:r>
        <w:rPr>
          <w:sz w:val="24"/>
          <w:szCs w:val="24"/>
        </w:rPr>
        <w:lastRenderedPageBreak/>
        <w:t xml:space="preserve">We can conclude there is a correlation between the position of the jazz in this survey and the </w:t>
      </w:r>
      <w:r w:rsidR="00F421E1">
        <w:rPr>
          <w:sz w:val="24"/>
          <w:szCs w:val="24"/>
        </w:rPr>
        <w:t>number and success rate of the Kickstarter’s campaigns.</w:t>
      </w:r>
    </w:p>
    <w:p w14:paraId="0021DD96" w14:textId="0D3656B9" w:rsidR="00247255" w:rsidRPr="00000BC7" w:rsidRDefault="005A2B91" w:rsidP="00907EDC">
      <w:pPr>
        <w:spacing w:line="360" w:lineRule="auto"/>
        <w:rPr>
          <w:rFonts w:ascii="Myriad Pro Cond" w:hAnsi="Myriad Pro Cond"/>
          <w:color w:val="1BC34F"/>
          <w:sz w:val="32"/>
          <w:szCs w:val="32"/>
        </w:rPr>
      </w:pPr>
      <w:r w:rsidRPr="00000BC7">
        <w:rPr>
          <w:rFonts w:ascii="Myriad Pro Cond" w:hAnsi="Myriad Pro Cond"/>
          <w:color w:val="1BC34F"/>
          <w:sz w:val="32"/>
          <w:szCs w:val="32"/>
        </w:rPr>
        <w:t xml:space="preserve"> </w:t>
      </w:r>
      <w:r w:rsidR="00247255" w:rsidRPr="00000BC7">
        <w:rPr>
          <w:rFonts w:ascii="Myriad Pro Cond" w:hAnsi="Myriad Pro Cond"/>
          <w:color w:val="1BC34F"/>
          <w:sz w:val="32"/>
          <w:szCs w:val="32"/>
        </w:rPr>
        <w:t>There is a time for funding</w:t>
      </w:r>
    </w:p>
    <w:p w14:paraId="78A9C0EF" w14:textId="0CE809FF" w:rsidR="00000BC7" w:rsidRDefault="00000BC7" w:rsidP="00907EDC">
      <w:pPr>
        <w:spacing w:line="360" w:lineRule="auto"/>
        <w:rPr>
          <w:sz w:val="24"/>
          <w:szCs w:val="24"/>
        </w:rPr>
      </w:pPr>
      <w:r>
        <w:rPr>
          <w:sz w:val="24"/>
          <w:szCs w:val="24"/>
        </w:rPr>
        <w:t>When we look at the Figure 3, we can observe several interesting movements in the lines of the graph.</w:t>
      </w:r>
    </w:p>
    <w:p w14:paraId="3CD4387B" w14:textId="5FD43E60" w:rsidR="007C4AF3" w:rsidRDefault="007C4AF3" w:rsidP="00907EDC">
      <w:pPr>
        <w:spacing w:line="360" w:lineRule="auto"/>
        <w:rPr>
          <w:sz w:val="24"/>
          <w:szCs w:val="24"/>
        </w:rPr>
      </w:pPr>
      <w:r>
        <w:rPr>
          <w:noProof/>
        </w:rPr>
        <w:drawing>
          <wp:inline distT="0" distB="0" distL="0" distR="0" wp14:anchorId="6C69D226" wp14:editId="38215BF0">
            <wp:extent cx="5943600" cy="3278505"/>
            <wp:effectExtent l="0" t="0" r="0" b="17145"/>
            <wp:docPr id="4" name="Chart 4">
              <a:extLst xmlns:a="http://schemas.openxmlformats.org/drawingml/2006/main">
                <a:ext uri="{FF2B5EF4-FFF2-40B4-BE49-F238E27FC236}">
                  <a16:creationId xmlns:a16="http://schemas.microsoft.com/office/drawing/2014/main" id="{DFFFC415-31D5-47F8-93EE-6AA912B529D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24A184E" w14:textId="77777777" w:rsidR="007C4AF3" w:rsidRPr="007C4AF3" w:rsidRDefault="007C4AF3" w:rsidP="00B60253">
      <w:pPr>
        <w:jc w:val="center"/>
        <w:rPr>
          <w:sz w:val="20"/>
          <w:szCs w:val="20"/>
        </w:rPr>
      </w:pPr>
      <w:r w:rsidRPr="007C4AF3">
        <w:rPr>
          <w:sz w:val="20"/>
          <w:szCs w:val="20"/>
        </w:rPr>
        <w:t>Figure 3: Count of state by date</w:t>
      </w:r>
    </w:p>
    <w:p w14:paraId="37F377DD" w14:textId="77777777" w:rsidR="007C4AF3" w:rsidRDefault="007C4AF3" w:rsidP="00907EDC">
      <w:pPr>
        <w:spacing w:after="0" w:line="360" w:lineRule="auto"/>
        <w:rPr>
          <w:sz w:val="24"/>
          <w:szCs w:val="24"/>
        </w:rPr>
      </w:pPr>
    </w:p>
    <w:p w14:paraId="120D7C80" w14:textId="609B114C" w:rsidR="00A426C0" w:rsidRDefault="00000BC7" w:rsidP="00907EDC">
      <w:pPr>
        <w:spacing w:after="0" w:line="360" w:lineRule="auto"/>
        <w:rPr>
          <w:sz w:val="24"/>
          <w:szCs w:val="24"/>
        </w:rPr>
      </w:pPr>
      <w:r>
        <w:rPr>
          <w:sz w:val="24"/>
          <w:szCs w:val="24"/>
        </w:rPr>
        <w:t xml:space="preserve">First of </w:t>
      </w:r>
      <w:r w:rsidR="00A426C0">
        <w:rPr>
          <w:sz w:val="24"/>
          <w:szCs w:val="24"/>
        </w:rPr>
        <w:t>all,</w:t>
      </w:r>
      <w:r>
        <w:rPr>
          <w:sz w:val="24"/>
          <w:szCs w:val="24"/>
        </w:rPr>
        <w:t xml:space="preserve"> analysis shows the highest success rate is in May at 61% across all categories with the lowest point in December with a 44% success rates.</w:t>
      </w:r>
    </w:p>
    <w:p w14:paraId="16434899" w14:textId="21A150CC" w:rsidR="00A426C0" w:rsidRDefault="00A426C0" w:rsidP="00907EDC">
      <w:pPr>
        <w:spacing w:after="0" w:line="360" w:lineRule="auto"/>
        <w:rPr>
          <w:sz w:val="24"/>
          <w:szCs w:val="24"/>
        </w:rPr>
      </w:pPr>
      <w:r>
        <w:rPr>
          <w:sz w:val="24"/>
          <w:szCs w:val="24"/>
        </w:rPr>
        <w:t>Secondly, we can see the gap between successful and failed closes all year long and cross in December</w:t>
      </w:r>
      <w:r w:rsidR="00886ABD">
        <w:rPr>
          <w:sz w:val="24"/>
          <w:szCs w:val="24"/>
        </w:rPr>
        <w:t>. We can conclude that even though the successful campaigns look above the failed campaigns, it slowly go</w:t>
      </w:r>
      <w:r w:rsidR="009729DD">
        <w:rPr>
          <w:sz w:val="24"/>
          <w:szCs w:val="24"/>
        </w:rPr>
        <w:t>es</w:t>
      </w:r>
      <w:r w:rsidR="00886ABD">
        <w:rPr>
          <w:sz w:val="24"/>
          <w:szCs w:val="24"/>
        </w:rPr>
        <w:t xml:space="preserve"> down</w:t>
      </w:r>
      <w:r w:rsidR="00EB6179">
        <w:rPr>
          <w:sz w:val="24"/>
          <w:szCs w:val="24"/>
        </w:rPr>
        <w:t xml:space="preserve"> from 183 to 111 campaigns. From May to December we have a 48% decline in successful campaigns </w:t>
      </w:r>
      <w:r w:rsidR="00C467F2">
        <w:rPr>
          <w:sz w:val="24"/>
          <w:szCs w:val="24"/>
        </w:rPr>
        <w:t>(</w:t>
      </w:r>
      <w:r w:rsidR="007C4AF3">
        <w:rPr>
          <w:sz w:val="24"/>
          <w:szCs w:val="24"/>
        </w:rPr>
        <w:t>goes</w:t>
      </w:r>
      <w:r w:rsidR="00C467F2">
        <w:rPr>
          <w:sz w:val="24"/>
          <w:szCs w:val="24"/>
        </w:rPr>
        <w:t xml:space="preserve"> from 213 to 111 successful campaigns) </w:t>
      </w:r>
      <w:r w:rsidR="00EB6179">
        <w:rPr>
          <w:sz w:val="24"/>
          <w:szCs w:val="24"/>
        </w:rPr>
        <w:t xml:space="preserve">and only a 6% decline in failed campaigns, which explains why the two lines cross in December. </w:t>
      </w:r>
    </w:p>
    <w:p w14:paraId="345269E5" w14:textId="59ACA801" w:rsidR="00247255" w:rsidRDefault="009729DD" w:rsidP="00907EDC">
      <w:pPr>
        <w:spacing w:line="360" w:lineRule="auto"/>
        <w:rPr>
          <w:sz w:val="24"/>
          <w:szCs w:val="24"/>
        </w:rPr>
      </w:pPr>
      <w:r>
        <w:rPr>
          <w:sz w:val="24"/>
          <w:szCs w:val="24"/>
        </w:rPr>
        <w:lastRenderedPageBreak/>
        <w:t xml:space="preserve">One main reason on why such results is the economical situation of the people who gives the money.  January to May we see an increase </w:t>
      </w:r>
      <w:r w:rsidR="005319EC">
        <w:rPr>
          <w:sz w:val="24"/>
          <w:szCs w:val="24"/>
        </w:rPr>
        <w:t xml:space="preserve">because the new year good resolution effect as well as the tax return period, which most of the time result in a refund from the government. Then comes the summer from May to September, when people spend more money in leisure and vacations. We can see a small spike because of the thanksgiving and pre-Christmas period, where giving is in the air and we don’t count the expenses to make someone else happy. Then come December, when family’s budgets are </w:t>
      </w:r>
      <w:r w:rsidR="007B78B2">
        <w:rPr>
          <w:sz w:val="24"/>
          <w:szCs w:val="24"/>
        </w:rPr>
        <w:t>tight.</w:t>
      </w:r>
    </w:p>
    <w:p w14:paraId="0973A4DC" w14:textId="034BB902" w:rsidR="00C65912" w:rsidRDefault="00C65912" w:rsidP="00907EDC">
      <w:pPr>
        <w:spacing w:line="360" w:lineRule="auto"/>
        <w:rPr>
          <w:sz w:val="24"/>
          <w:szCs w:val="24"/>
        </w:rPr>
      </w:pPr>
      <w:r>
        <w:rPr>
          <w:sz w:val="24"/>
          <w:szCs w:val="24"/>
        </w:rPr>
        <w:t xml:space="preserve">To conclude this part, we can definitely observe that three main categories dominates the campaigns: music, theater and film/video. We can also show that there is a certain period of the year to start a campaign: January to May. We could also focus on the amount needed to be raised and the rates of success and fails i.e. the more money is asked the more chance you have to failed to collect this amount (Figure 4). </w:t>
      </w:r>
      <w:r w:rsidR="00345C29">
        <w:rPr>
          <w:noProof/>
        </w:rPr>
        <w:drawing>
          <wp:inline distT="0" distB="0" distL="0" distR="0" wp14:anchorId="0B052CBD" wp14:editId="1C24B4B4">
            <wp:extent cx="5943600" cy="3562350"/>
            <wp:effectExtent l="0" t="0" r="0" b="0"/>
            <wp:docPr id="6" name="Chart 6">
              <a:extLst xmlns:a="http://schemas.openxmlformats.org/drawingml/2006/main">
                <a:ext uri="{FF2B5EF4-FFF2-40B4-BE49-F238E27FC236}">
                  <a16:creationId xmlns:a16="http://schemas.microsoft.com/office/drawing/2014/main" id="{BD80AEA8-EC92-407E-894A-40FBE13397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47A478D" w14:textId="780E0B00" w:rsidR="00345C29" w:rsidRPr="00345C29" w:rsidRDefault="00345C29" w:rsidP="00B60253">
      <w:pPr>
        <w:spacing w:line="360" w:lineRule="auto"/>
        <w:jc w:val="center"/>
        <w:rPr>
          <w:sz w:val="20"/>
          <w:szCs w:val="20"/>
        </w:rPr>
      </w:pPr>
      <w:r w:rsidRPr="00345C29">
        <w:rPr>
          <w:sz w:val="20"/>
          <w:szCs w:val="20"/>
        </w:rPr>
        <w:t xml:space="preserve">Figure 4: </w:t>
      </w:r>
      <w:r w:rsidRPr="00345C29">
        <w:rPr>
          <w:sz w:val="20"/>
          <w:szCs w:val="20"/>
        </w:rPr>
        <w:t>Count of state by fundraiser goal</w:t>
      </w:r>
    </w:p>
    <w:p w14:paraId="391888BE" w14:textId="4BC44D86" w:rsidR="00345C29" w:rsidRDefault="00345C29" w:rsidP="00907EDC">
      <w:pPr>
        <w:spacing w:line="360" w:lineRule="auto"/>
        <w:rPr>
          <w:sz w:val="24"/>
          <w:szCs w:val="24"/>
        </w:rPr>
      </w:pPr>
    </w:p>
    <w:p w14:paraId="44DEED37" w14:textId="373F2129" w:rsidR="009A518D" w:rsidRDefault="009A518D" w:rsidP="00907EDC">
      <w:pPr>
        <w:spacing w:line="360" w:lineRule="auto"/>
        <w:rPr>
          <w:sz w:val="24"/>
          <w:szCs w:val="24"/>
        </w:rPr>
      </w:pPr>
    </w:p>
    <w:p w14:paraId="05C2945C" w14:textId="77777777" w:rsidR="009A518D" w:rsidRPr="009A518D" w:rsidRDefault="009A518D" w:rsidP="00907EDC">
      <w:pPr>
        <w:rPr>
          <w:rFonts w:ascii="Myriad Pro Cond" w:hAnsi="Myriad Pro Cond"/>
          <w:color w:val="1BC34F"/>
          <w:sz w:val="44"/>
          <w:szCs w:val="44"/>
          <w:u w:val="single"/>
        </w:rPr>
      </w:pPr>
      <w:r w:rsidRPr="009A518D">
        <w:rPr>
          <w:rFonts w:ascii="Myriad Pro Cond" w:hAnsi="Myriad Pro Cond"/>
          <w:color w:val="1BC34F"/>
          <w:sz w:val="44"/>
          <w:szCs w:val="44"/>
          <w:u w:val="single"/>
        </w:rPr>
        <w:lastRenderedPageBreak/>
        <w:t>Part 2: What are some of the limitations of this dataset?</w:t>
      </w:r>
    </w:p>
    <w:p w14:paraId="2C55C553" w14:textId="16230489" w:rsidR="009A518D" w:rsidRDefault="009A518D" w:rsidP="00907EDC">
      <w:pPr>
        <w:spacing w:line="360" w:lineRule="auto"/>
        <w:rPr>
          <w:sz w:val="24"/>
          <w:szCs w:val="24"/>
        </w:rPr>
      </w:pPr>
      <w:r>
        <w:rPr>
          <w:sz w:val="24"/>
          <w:szCs w:val="24"/>
        </w:rPr>
        <w:t xml:space="preserve">I can see two limitations of this dataset: geography, demographics. </w:t>
      </w:r>
      <w:r w:rsidR="00907EDC">
        <w:rPr>
          <w:sz w:val="24"/>
          <w:szCs w:val="24"/>
        </w:rPr>
        <w:t>We do have a dataset at an international level, which is good but a more regional or local one would have been a plus to study the trends. It would be great, for example, to compare different parts of the United States. Most of the time people compare to what they are know or familiar to. Comparing the theater category would be more relevant if it was between the West Coast and the East Coast rather than between France and the United States; Both countries don’t have the same approach to culture because of their history, society etc.</w:t>
      </w:r>
    </w:p>
    <w:p w14:paraId="54EBD6F9" w14:textId="37ED6F84" w:rsidR="00C65912" w:rsidRDefault="00907EDC" w:rsidP="00907EDC">
      <w:pPr>
        <w:spacing w:line="360" w:lineRule="auto"/>
        <w:rPr>
          <w:sz w:val="24"/>
          <w:szCs w:val="24"/>
        </w:rPr>
      </w:pPr>
      <w:r>
        <w:rPr>
          <w:sz w:val="24"/>
          <w:szCs w:val="24"/>
        </w:rPr>
        <w:t>The demographics could have a better focus in this dataset. Knowing the income household as well as the age could help figure out how to be more successful in a Kickstarter campaign.</w:t>
      </w:r>
      <w:r w:rsidR="007F34A3">
        <w:rPr>
          <w:sz w:val="24"/>
          <w:szCs w:val="24"/>
        </w:rPr>
        <w:t xml:space="preserve"> For example, if you want to start a fundraiser on jazz, it would be great to know </w:t>
      </w:r>
      <w:r w:rsidR="009B238E">
        <w:rPr>
          <w:sz w:val="24"/>
          <w:szCs w:val="24"/>
        </w:rPr>
        <w:t xml:space="preserve">from past campaigns the </w:t>
      </w:r>
      <w:r w:rsidR="007F34A3">
        <w:rPr>
          <w:sz w:val="24"/>
          <w:szCs w:val="24"/>
        </w:rPr>
        <w:t>age</w:t>
      </w:r>
      <w:r w:rsidR="009B238E">
        <w:rPr>
          <w:sz w:val="24"/>
          <w:szCs w:val="24"/>
        </w:rPr>
        <w:t xml:space="preserve">: do we reach out to young people or 50-60 year old? The </w:t>
      </w:r>
      <w:r w:rsidR="007F34A3">
        <w:rPr>
          <w:sz w:val="24"/>
          <w:szCs w:val="24"/>
        </w:rPr>
        <w:t>city</w:t>
      </w:r>
      <w:r w:rsidR="009B238E">
        <w:rPr>
          <w:sz w:val="24"/>
          <w:szCs w:val="24"/>
        </w:rPr>
        <w:t xml:space="preserve">/region: do we target more people from the big city or rural part of the country? The </w:t>
      </w:r>
      <w:r w:rsidR="007F34A3">
        <w:rPr>
          <w:sz w:val="24"/>
          <w:szCs w:val="24"/>
        </w:rPr>
        <w:t>income</w:t>
      </w:r>
      <w:r w:rsidR="009B238E">
        <w:rPr>
          <w:sz w:val="24"/>
          <w:szCs w:val="24"/>
        </w:rPr>
        <w:t>: Do we target people with an average salary or high income?</w:t>
      </w:r>
    </w:p>
    <w:p w14:paraId="589B8422" w14:textId="77777777" w:rsidR="00F068BC" w:rsidRDefault="00F068BC" w:rsidP="00F068BC">
      <w:pPr>
        <w:rPr>
          <w:rFonts w:ascii="Myriad Pro Cond" w:hAnsi="Myriad Pro Cond"/>
          <w:color w:val="1BC34F"/>
          <w:sz w:val="44"/>
          <w:szCs w:val="44"/>
          <w:u w:val="single"/>
        </w:rPr>
      </w:pPr>
    </w:p>
    <w:p w14:paraId="71553873" w14:textId="75B26A0E" w:rsidR="00F068BC" w:rsidRPr="00F068BC" w:rsidRDefault="00F068BC" w:rsidP="00F068BC">
      <w:pPr>
        <w:rPr>
          <w:rFonts w:ascii="Myriad Pro Cond" w:hAnsi="Myriad Pro Cond"/>
          <w:color w:val="1BC34F"/>
          <w:sz w:val="44"/>
          <w:szCs w:val="44"/>
          <w:u w:val="single"/>
        </w:rPr>
      </w:pPr>
      <w:r w:rsidRPr="00F068BC">
        <w:rPr>
          <w:rFonts w:ascii="Myriad Pro Cond" w:hAnsi="Myriad Pro Cond"/>
          <w:color w:val="1BC34F"/>
          <w:sz w:val="44"/>
          <w:szCs w:val="44"/>
          <w:u w:val="single"/>
        </w:rPr>
        <w:t>Part 3: What are some other possible tables and/or graphs?</w:t>
      </w:r>
    </w:p>
    <w:p w14:paraId="4F4A8B77" w14:textId="3CFAB29E" w:rsidR="00F068BC" w:rsidRDefault="00F068BC" w:rsidP="00907EDC">
      <w:pPr>
        <w:spacing w:line="360" w:lineRule="auto"/>
        <w:rPr>
          <w:sz w:val="24"/>
          <w:szCs w:val="24"/>
        </w:rPr>
      </w:pPr>
      <w:r>
        <w:rPr>
          <w:sz w:val="24"/>
          <w:szCs w:val="24"/>
        </w:rPr>
        <w:t>We have been focusing mainly on the category, the time and the amount goal. With the same set of data, it would be great to create a graph that show the length of a campaign and his success rates</w:t>
      </w:r>
      <w:r w:rsidR="00124F7B">
        <w:rPr>
          <w:sz w:val="24"/>
          <w:szCs w:val="24"/>
        </w:rPr>
        <w:t>.</w:t>
      </w:r>
      <w:r w:rsidR="006F372C">
        <w:rPr>
          <w:sz w:val="24"/>
          <w:szCs w:val="24"/>
        </w:rPr>
        <w:t xml:space="preserve"> Would it be more successful to have a short but intense campaign or a long a easy ride campaign to reach the goal?</w:t>
      </w:r>
    </w:p>
    <w:p w14:paraId="232C68D6" w14:textId="7784BBEE" w:rsidR="006F372C" w:rsidRDefault="006F372C" w:rsidP="00907EDC">
      <w:pPr>
        <w:spacing w:line="360" w:lineRule="auto"/>
        <w:rPr>
          <w:sz w:val="24"/>
          <w:szCs w:val="24"/>
        </w:rPr>
      </w:pPr>
      <w:r>
        <w:rPr>
          <w:sz w:val="24"/>
          <w:szCs w:val="24"/>
        </w:rPr>
        <w:t xml:space="preserve">Another interesting graph would be to see how the number of donators, the goal and the average donations would be related all together. In this case we could see if the number of backers or the goal or the average is more important or work well together. </w:t>
      </w:r>
    </w:p>
    <w:p w14:paraId="3A2A90E6" w14:textId="6E898677" w:rsidR="00F462B1" w:rsidRDefault="00F462B1" w:rsidP="00907EDC">
      <w:pPr>
        <w:spacing w:line="360" w:lineRule="auto"/>
        <w:rPr>
          <w:sz w:val="24"/>
          <w:szCs w:val="24"/>
        </w:rPr>
      </w:pPr>
    </w:p>
    <w:p w14:paraId="626C987D" w14:textId="77777777" w:rsidR="00F462B1" w:rsidRDefault="00F462B1" w:rsidP="00F462B1">
      <w:pPr>
        <w:rPr>
          <w:rFonts w:ascii="Myriad Pro Cond" w:hAnsi="Myriad Pro Cond"/>
          <w:color w:val="1BC34F"/>
          <w:sz w:val="44"/>
          <w:szCs w:val="44"/>
          <w:u w:val="single"/>
        </w:rPr>
      </w:pPr>
    </w:p>
    <w:p w14:paraId="01E69964" w14:textId="77777777" w:rsidR="00F462B1" w:rsidRPr="00F462B1" w:rsidRDefault="00F462B1" w:rsidP="00F462B1">
      <w:pPr>
        <w:rPr>
          <w:rFonts w:ascii="Myriad Pro Cond" w:hAnsi="Myriad Pro Cond"/>
          <w:color w:val="1BC34F"/>
          <w:sz w:val="44"/>
          <w:szCs w:val="44"/>
          <w:u w:val="single"/>
        </w:rPr>
      </w:pPr>
      <w:r w:rsidRPr="00F462B1">
        <w:rPr>
          <w:rFonts w:ascii="Myriad Pro Cond" w:hAnsi="Myriad Pro Cond"/>
          <w:color w:val="1BC34F"/>
          <w:sz w:val="44"/>
          <w:szCs w:val="44"/>
          <w:u w:val="single"/>
        </w:rPr>
        <w:lastRenderedPageBreak/>
        <w:t>Part 4: Analysis of the dataset (Bonus)</w:t>
      </w:r>
    </w:p>
    <w:p w14:paraId="6DF5D691" w14:textId="5BF4F017" w:rsidR="00F462B1" w:rsidRDefault="00E33CA9" w:rsidP="00F462B1">
      <w:pPr>
        <w:spacing w:line="360" w:lineRule="auto"/>
        <w:rPr>
          <w:sz w:val="24"/>
          <w:szCs w:val="24"/>
        </w:rPr>
      </w:pPr>
      <w:r>
        <w:rPr>
          <w:sz w:val="24"/>
          <w:szCs w:val="24"/>
        </w:rPr>
        <w:t>After isolating the successful and failed campaign, it was possible to calculate the median,</w:t>
      </w:r>
    </w:p>
    <w:p w14:paraId="5EAB7AFE" w14:textId="77777777" w:rsidR="00680DCE" w:rsidRDefault="00680DCE" w:rsidP="00F462B1">
      <w:pPr>
        <w:spacing w:line="360" w:lineRule="auto"/>
        <w:rPr>
          <w:sz w:val="24"/>
          <w:szCs w:val="24"/>
        </w:rPr>
      </w:pPr>
    </w:p>
    <w:tbl>
      <w:tblPr>
        <w:tblW w:w="7420" w:type="dxa"/>
        <w:jc w:val="center"/>
        <w:tblLook w:val="04A0" w:firstRow="1" w:lastRow="0" w:firstColumn="1" w:lastColumn="0" w:noHBand="0" w:noVBand="1"/>
      </w:tblPr>
      <w:tblGrid>
        <w:gridCol w:w="1134"/>
        <w:gridCol w:w="918"/>
        <w:gridCol w:w="1387"/>
        <w:gridCol w:w="581"/>
        <w:gridCol w:w="774"/>
        <w:gridCol w:w="1387"/>
        <w:gridCol w:w="1900"/>
      </w:tblGrid>
      <w:tr w:rsidR="00F462B1" w:rsidRPr="00F462B1" w14:paraId="35487901" w14:textId="77777777" w:rsidTr="00F462B1">
        <w:trPr>
          <w:trHeight w:val="300"/>
          <w:jc w:val="center"/>
        </w:trPr>
        <w:tc>
          <w:tcPr>
            <w:tcW w:w="1060" w:type="dxa"/>
            <w:tcBorders>
              <w:top w:val="nil"/>
              <w:left w:val="nil"/>
              <w:bottom w:val="nil"/>
              <w:right w:val="nil"/>
            </w:tcBorders>
            <w:shd w:val="clear" w:color="000000" w:fill="F2F2F2"/>
            <w:noWrap/>
            <w:vAlign w:val="center"/>
            <w:hideMark/>
          </w:tcPr>
          <w:p w14:paraId="28799191" w14:textId="77777777" w:rsidR="00F462B1" w:rsidRPr="00F462B1" w:rsidRDefault="00F462B1" w:rsidP="00F462B1">
            <w:pPr>
              <w:spacing w:after="0" w:line="240" w:lineRule="auto"/>
              <w:jc w:val="center"/>
              <w:rPr>
                <w:rFonts w:ascii="Calibri" w:eastAsia="Times New Roman" w:hAnsi="Calibri" w:cs="Calibri"/>
                <w:b/>
                <w:bCs/>
                <w:color w:val="000000"/>
              </w:rPr>
            </w:pPr>
            <w:r w:rsidRPr="00F462B1">
              <w:rPr>
                <w:rFonts w:ascii="Calibri" w:eastAsia="Times New Roman" w:hAnsi="Calibri" w:cs="Calibri"/>
                <w:b/>
                <w:bCs/>
                <w:color w:val="000000"/>
              </w:rPr>
              <w:t>State</w:t>
            </w:r>
          </w:p>
        </w:tc>
        <w:tc>
          <w:tcPr>
            <w:tcW w:w="820" w:type="dxa"/>
            <w:tcBorders>
              <w:top w:val="nil"/>
              <w:left w:val="nil"/>
              <w:bottom w:val="nil"/>
              <w:right w:val="nil"/>
            </w:tcBorders>
            <w:shd w:val="clear" w:color="000000" w:fill="F2F2F2"/>
            <w:noWrap/>
            <w:vAlign w:val="center"/>
            <w:hideMark/>
          </w:tcPr>
          <w:p w14:paraId="5AD227BD" w14:textId="77777777" w:rsidR="00F462B1" w:rsidRPr="00F462B1" w:rsidRDefault="00F462B1" w:rsidP="00F462B1">
            <w:pPr>
              <w:spacing w:after="0" w:line="240" w:lineRule="auto"/>
              <w:jc w:val="center"/>
              <w:rPr>
                <w:rFonts w:ascii="Calibri" w:eastAsia="Times New Roman" w:hAnsi="Calibri" w:cs="Calibri"/>
                <w:b/>
                <w:bCs/>
                <w:color w:val="000000"/>
              </w:rPr>
            </w:pPr>
            <w:r w:rsidRPr="00F462B1">
              <w:rPr>
                <w:rFonts w:ascii="Calibri" w:eastAsia="Times New Roman" w:hAnsi="Calibri" w:cs="Calibri"/>
                <w:b/>
                <w:bCs/>
                <w:color w:val="000000"/>
              </w:rPr>
              <w:t>Median</w:t>
            </w:r>
          </w:p>
        </w:tc>
        <w:tc>
          <w:tcPr>
            <w:tcW w:w="1260" w:type="dxa"/>
            <w:tcBorders>
              <w:top w:val="nil"/>
              <w:left w:val="nil"/>
              <w:bottom w:val="nil"/>
              <w:right w:val="nil"/>
            </w:tcBorders>
            <w:shd w:val="clear" w:color="000000" w:fill="F2F2F2"/>
            <w:noWrap/>
            <w:vAlign w:val="center"/>
            <w:hideMark/>
          </w:tcPr>
          <w:p w14:paraId="4B4B631D" w14:textId="77777777" w:rsidR="00F462B1" w:rsidRPr="00F462B1" w:rsidRDefault="00F462B1" w:rsidP="00F462B1">
            <w:pPr>
              <w:spacing w:after="0" w:line="240" w:lineRule="auto"/>
              <w:jc w:val="center"/>
              <w:rPr>
                <w:rFonts w:ascii="Calibri" w:eastAsia="Times New Roman" w:hAnsi="Calibri" w:cs="Calibri"/>
                <w:b/>
                <w:bCs/>
                <w:color w:val="000000"/>
              </w:rPr>
            </w:pPr>
            <w:r w:rsidRPr="00F462B1">
              <w:rPr>
                <w:rFonts w:ascii="Calibri" w:eastAsia="Times New Roman" w:hAnsi="Calibri" w:cs="Calibri"/>
                <w:b/>
                <w:bCs/>
                <w:color w:val="000000"/>
              </w:rPr>
              <w:t>Mean</w:t>
            </w:r>
          </w:p>
        </w:tc>
        <w:tc>
          <w:tcPr>
            <w:tcW w:w="480" w:type="dxa"/>
            <w:tcBorders>
              <w:top w:val="nil"/>
              <w:left w:val="nil"/>
              <w:bottom w:val="nil"/>
              <w:right w:val="nil"/>
            </w:tcBorders>
            <w:shd w:val="clear" w:color="000000" w:fill="F2F2F2"/>
            <w:noWrap/>
            <w:vAlign w:val="center"/>
            <w:hideMark/>
          </w:tcPr>
          <w:p w14:paraId="26262721" w14:textId="77777777" w:rsidR="00F462B1" w:rsidRPr="00F462B1" w:rsidRDefault="00F462B1" w:rsidP="00F462B1">
            <w:pPr>
              <w:spacing w:after="0" w:line="240" w:lineRule="auto"/>
              <w:jc w:val="center"/>
              <w:rPr>
                <w:rFonts w:ascii="Calibri" w:eastAsia="Times New Roman" w:hAnsi="Calibri" w:cs="Calibri"/>
                <w:b/>
                <w:bCs/>
                <w:color w:val="000000"/>
              </w:rPr>
            </w:pPr>
            <w:r w:rsidRPr="00F462B1">
              <w:rPr>
                <w:rFonts w:ascii="Calibri" w:eastAsia="Times New Roman" w:hAnsi="Calibri" w:cs="Calibri"/>
                <w:b/>
                <w:bCs/>
                <w:color w:val="000000"/>
              </w:rPr>
              <w:t>Min</w:t>
            </w:r>
          </w:p>
        </w:tc>
        <w:tc>
          <w:tcPr>
            <w:tcW w:w="640" w:type="dxa"/>
            <w:tcBorders>
              <w:top w:val="nil"/>
              <w:left w:val="nil"/>
              <w:bottom w:val="nil"/>
              <w:right w:val="nil"/>
            </w:tcBorders>
            <w:shd w:val="clear" w:color="000000" w:fill="F2F2F2"/>
            <w:noWrap/>
            <w:vAlign w:val="center"/>
            <w:hideMark/>
          </w:tcPr>
          <w:p w14:paraId="20B7DD6E" w14:textId="77777777" w:rsidR="00F462B1" w:rsidRPr="00F462B1" w:rsidRDefault="00F462B1" w:rsidP="00F462B1">
            <w:pPr>
              <w:spacing w:after="0" w:line="240" w:lineRule="auto"/>
              <w:jc w:val="center"/>
              <w:rPr>
                <w:rFonts w:ascii="Calibri" w:eastAsia="Times New Roman" w:hAnsi="Calibri" w:cs="Calibri"/>
                <w:b/>
                <w:bCs/>
                <w:color w:val="000000"/>
              </w:rPr>
            </w:pPr>
            <w:r w:rsidRPr="00F462B1">
              <w:rPr>
                <w:rFonts w:ascii="Calibri" w:eastAsia="Times New Roman" w:hAnsi="Calibri" w:cs="Calibri"/>
                <w:b/>
                <w:bCs/>
                <w:color w:val="000000"/>
              </w:rPr>
              <w:t>Max</w:t>
            </w:r>
          </w:p>
        </w:tc>
        <w:tc>
          <w:tcPr>
            <w:tcW w:w="1260" w:type="dxa"/>
            <w:tcBorders>
              <w:top w:val="nil"/>
              <w:left w:val="nil"/>
              <w:bottom w:val="nil"/>
              <w:right w:val="nil"/>
            </w:tcBorders>
            <w:shd w:val="clear" w:color="000000" w:fill="F2F2F2"/>
            <w:noWrap/>
            <w:vAlign w:val="center"/>
            <w:hideMark/>
          </w:tcPr>
          <w:p w14:paraId="48B68087" w14:textId="77777777" w:rsidR="00F462B1" w:rsidRPr="00F462B1" w:rsidRDefault="00F462B1" w:rsidP="00F462B1">
            <w:pPr>
              <w:spacing w:after="0" w:line="240" w:lineRule="auto"/>
              <w:jc w:val="center"/>
              <w:rPr>
                <w:rFonts w:ascii="Calibri" w:eastAsia="Times New Roman" w:hAnsi="Calibri" w:cs="Calibri"/>
                <w:b/>
                <w:bCs/>
                <w:color w:val="000000"/>
              </w:rPr>
            </w:pPr>
            <w:r w:rsidRPr="00F462B1">
              <w:rPr>
                <w:rFonts w:ascii="Calibri" w:eastAsia="Times New Roman" w:hAnsi="Calibri" w:cs="Calibri"/>
                <w:b/>
                <w:bCs/>
                <w:color w:val="000000"/>
              </w:rPr>
              <w:t>Variance</w:t>
            </w:r>
          </w:p>
        </w:tc>
        <w:tc>
          <w:tcPr>
            <w:tcW w:w="1900" w:type="dxa"/>
            <w:tcBorders>
              <w:top w:val="nil"/>
              <w:left w:val="nil"/>
              <w:bottom w:val="nil"/>
              <w:right w:val="nil"/>
            </w:tcBorders>
            <w:shd w:val="clear" w:color="000000" w:fill="F2F2F2"/>
            <w:noWrap/>
            <w:vAlign w:val="center"/>
            <w:hideMark/>
          </w:tcPr>
          <w:p w14:paraId="1C6DA465" w14:textId="77777777" w:rsidR="00F462B1" w:rsidRPr="00F462B1" w:rsidRDefault="00F462B1" w:rsidP="00F462B1">
            <w:pPr>
              <w:spacing w:after="0" w:line="240" w:lineRule="auto"/>
              <w:jc w:val="center"/>
              <w:rPr>
                <w:rFonts w:ascii="Calibri" w:eastAsia="Times New Roman" w:hAnsi="Calibri" w:cs="Calibri"/>
                <w:b/>
                <w:bCs/>
                <w:color w:val="000000"/>
              </w:rPr>
            </w:pPr>
            <w:r w:rsidRPr="00F462B1">
              <w:rPr>
                <w:rFonts w:ascii="Calibri" w:eastAsia="Times New Roman" w:hAnsi="Calibri" w:cs="Calibri"/>
                <w:b/>
                <w:bCs/>
                <w:color w:val="000000"/>
              </w:rPr>
              <w:t>Standard Deviation</w:t>
            </w:r>
          </w:p>
        </w:tc>
      </w:tr>
      <w:tr w:rsidR="00F462B1" w:rsidRPr="00F462B1" w14:paraId="0D3B1C0D" w14:textId="77777777" w:rsidTr="00F462B1">
        <w:trPr>
          <w:trHeight w:val="300"/>
          <w:jc w:val="center"/>
        </w:trPr>
        <w:tc>
          <w:tcPr>
            <w:tcW w:w="1060" w:type="dxa"/>
            <w:tcBorders>
              <w:top w:val="nil"/>
              <w:left w:val="nil"/>
              <w:bottom w:val="nil"/>
              <w:right w:val="nil"/>
            </w:tcBorders>
            <w:shd w:val="clear" w:color="000000" w:fill="1BC34F"/>
            <w:noWrap/>
            <w:vAlign w:val="center"/>
            <w:hideMark/>
          </w:tcPr>
          <w:p w14:paraId="3856EBB0" w14:textId="77777777" w:rsidR="00F462B1" w:rsidRPr="00F462B1" w:rsidRDefault="00F462B1" w:rsidP="00F462B1">
            <w:pPr>
              <w:spacing w:after="0" w:line="240" w:lineRule="auto"/>
              <w:jc w:val="center"/>
              <w:rPr>
                <w:rFonts w:ascii="Calibri" w:eastAsia="Times New Roman" w:hAnsi="Calibri" w:cs="Calibri"/>
                <w:color w:val="FFFFFF"/>
              </w:rPr>
            </w:pPr>
            <w:r w:rsidRPr="00F462B1">
              <w:rPr>
                <w:rFonts w:ascii="Calibri" w:eastAsia="Times New Roman" w:hAnsi="Calibri" w:cs="Calibri"/>
                <w:color w:val="FFFFFF"/>
              </w:rPr>
              <w:t>Successful</w:t>
            </w:r>
          </w:p>
        </w:tc>
        <w:tc>
          <w:tcPr>
            <w:tcW w:w="820" w:type="dxa"/>
            <w:tcBorders>
              <w:top w:val="nil"/>
              <w:left w:val="nil"/>
              <w:bottom w:val="nil"/>
              <w:right w:val="nil"/>
            </w:tcBorders>
            <w:shd w:val="clear" w:color="auto" w:fill="auto"/>
            <w:noWrap/>
            <w:vAlign w:val="center"/>
            <w:hideMark/>
          </w:tcPr>
          <w:p w14:paraId="799C8DFC"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62</w:t>
            </w:r>
          </w:p>
        </w:tc>
        <w:tc>
          <w:tcPr>
            <w:tcW w:w="1260" w:type="dxa"/>
            <w:tcBorders>
              <w:top w:val="nil"/>
              <w:left w:val="nil"/>
              <w:bottom w:val="nil"/>
              <w:right w:val="nil"/>
            </w:tcBorders>
            <w:shd w:val="clear" w:color="auto" w:fill="auto"/>
            <w:noWrap/>
            <w:vAlign w:val="center"/>
            <w:hideMark/>
          </w:tcPr>
          <w:p w14:paraId="05FFEE97"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194.4251716</w:t>
            </w:r>
          </w:p>
        </w:tc>
        <w:tc>
          <w:tcPr>
            <w:tcW w:w="480" w:type="dxa"/>
            <w:tcBorders>
              <w:top w:val="nil"/>
              <w:left w:val="nil"/>
              <w:bottom w:val="nil"/>
              <w:right w:val="nil"/>
            </w:tcBorders>
            <w:shd w:val="clear" w:color="auto" w:fill="auto"/>
            <w:noWrap/>
            <w:vAlign w:val="center"/>
            <w:hideMark/>
          </w:tcPr>
          <w:p w14:paraId="4670DC04"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1</w:t>
            </w:r>
          </w:p>
        </w:tc>
        <w:tc>
          <w:tcPr>
            <w:tcW w:w="640" w:type="dxa"/>
            <w:tcBorders>
              <w:top w:val="nil"/>
              <w:left w:val="nil"/>
              <w:bottom w:val="nil"/>
              <w:right w:val="nil"/>
            </w:tcBorders>
            <w:shd w:val="clear" w:color="auto" w:fill="auto"/>
            <w:noWrap/>
            <w:vAlign w:val="center"/>
            <w:hideMark/>
          </w:tcPr>
          <w:p w14:paraId="72B55207"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26457</w:t>
            </w:r>
          </w:p>
        </w:tc>
        <w:tc>
          <w:tcPr>
            <w:tcW w:w="1260" w:type="dxa"/>
            <w:tcBorders>
              <w:top w:val="nil"/>
              <w:left w:val="nil"/>
              <w:bottom w:val="nil"/>
              <w:right w:val="nil"/>
            </w:tcBorders>
            <w:shd w:val="clear" w:color="auto" w:fill="auto"/>
            <w:noWrap/>
            <w:vAlign w:val="center"/>
            <w:hideMark/>
          </w:tcPr>
          <w:p w14:paraId="3118C8CF"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712840.9867</w:t>
            </w:r>
          </w:p>
        </w:tc>
        <w:tc>
          <w:tcPr>
            <w:tcW w:w="1900" w:type="dxa"/>
            <w:tcBorders>
              <w:top w:val="nil"/>
              <w:left w:val="nil"/>
              <w:bottom w:val="nil"/>
              <w:right w:val="nil"/>
            </w:tcBorders>
            <w:shd w:val="clear" w:color="auto" w:fill="auto"/>
            <w:noWrap/>
            <w:vAlign w:val="center"/>
            <w:hideMark/>
          </w:tcPr>
          <w:p w14:paraId="1EDC8731"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844.2991098</w:t>
            </w:r>
          </w:p>
        </w:tc>
      </w:tr>
      <w:tr w:rsidR="00F462B1" w:rsidRPr="00F462B1" w14:paraId="46A58D40" w14:textId="77777777" w:rsidTr="00F462B1">
        <w:trPr>
          <w:trHeight w:val="300"/>
          <w:jc w:val="center"/>
        </w:trPr>
        <w:tc>
          <w:tcPr>
            <w:tcW w:w="1060" w:type="dxa"/>
            <w:tcBorders>
              <w:top w:val="nil"/>
              <w:left w:val="nil"/>
              <w:bottom w:val="nil"/>
              <w:right w:val="nil"/>
            </w:tcBorders>
            <w:shd w:val="clear" w:color="000000" w:fill="757171"/>
            <w:noWrap/>
            <w:vAlign w:val="center"/>
            <w:hideMark/>
          </w:tcPr>
          <w:p w14:paraId="2FAFC982" w14:textId="77777777" w:rsidR="00F462B1" w:rsidRPr="00F462B1" w:rsidRDefault="00F462B1" w:rsidP="00F462B1">
            <w:pPr>
              <w:spacing w:after="0" w:line="240" w:lineRule="auto"/>
              <w:jc w:val="center"/>
              <w:rPr>
                <w:rFonts w:ascii="Calibri" w:eastAsia="Times New Roman" w:hAnsi="Calibri" w:cs="Calibri"/>
                <w:color w:val="FFFFFF"/>
              </w:rPr>
            </w:pPr>
            <w:r w:rsidRPr="00F462B1">
              <w:rPr>
                <w:rFonts w:ascii="Calibri" w:eastAsia="Times New Roman" w:hAnsi="Calibri" w:cs="Calibri"/>
                <w:color w:val="FFFFFF"/>
              </w:rPr>
              <w:t>Failed</w:t>
            </w:r>
          </w:p>
        </w:tc>
        <w:tc>
          <w:tcPr>
            <w:tcW w:w="820" w:type="dxa"/>
            <w:tcBorders>
              <w:top w:val="nil"/>
              <w:left w:val="nil"/>
              <w:bottom w:val="nil"/>
              <w:right w:val="nil"/>
            </w:tcBorders>
            <w:shd w:val="clear" w:color="auto" w:fill="auto"/>
            <w:noWrap/>
            <w:vAlign w:val="center"/>
            <w:hideMark/>
          </w:tcPr>
          <w:p w14:paraId="05D24F34"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4</w:t>
            </w:r>
          </w:p>
        </w:tc>
        <w:tc>
          <w:tcPr>
            <w:tcW w:w="1260" w:type="dxa"/>
            <w:tcBorders>
              <w:top w:val="nil"/>
              <w:left w:val="nil"/>
              <w:bottom w:val="nil"/>
              <w:right w:val="nil"/>
            </w:tcBorders>
            <w:shd w:val="clear" w:color="auto" w:fill="auto"/>
            <w:noWrap/>
            <w:vAlign w:val="center"/>
            <w:hideMark/>
          </w:tcPr>
          <w:p w14:paraId="70354299"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17.70980392</w:t>
            </w:r>
          </w:p>
        </w:tc>
        <w:tc>
          <w:tcPr>
            <w:tcW w:w="480" w:type="dxa"/>
            <w:tcBorders>
              <w:top w:val="nil"/>
              <w:left w:val="nil"/>
              <w:bottom w:val="nil"/>
              <w:right w:val="nil"/>
            </w:tcBorders>
            <w:shd w:val="clear" w:color="auto" w:fill="auto"/>
            <w:noWrap/>
            <w:vAlign w:val="center"/>
            <w:hideMark/>
          </w:tcPr>
          <w:p w14:paraId="4648D713"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0</w:t>
            </w:r>
          </w:p>
        </w:tc>
        <w:tc>
          <w:tcPr>
            <w:tcW w:w="640" w:type="dxa"/>
            <w:tcBorders>
              <w:top w:val="nil"/>
              <w:left w:val="nil"/>
              <w:bottom w:val="nil"/>
              <w:right w:val="nil"/>
            </w:tcBorders>
            <w:shd w:val="clear" w:color="auto" w:fill="auto"/>
            <w:noWrap/>
            <w:vAlign w:val="center"/>
            <w:hideMark/>
          </w:tcPr>
          <w:p w14:paraId="736FD887"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1293</w:t>
            </w:r>
          </w:p>
        </w:tc>
        <w:tc>
          <w:tcPr>
            <w:tcW w:w="1260" w:type="dxa"/>
            <w:tcBorders>
              <w:top w:val="nil"/>
              <w:left w:val="nil"/>
              <w:bottom w:val="nil"/>
              <w:right w:val="nil"/>
            </w:tcBorders>
            <w:shd w:val="clear" w:color="auto" w:fill="auto"/>
            <w:noWrap/>
            <w:vAlign w:val="center"/>
            <w:hideMark/>
          </w:tcPr>
          <w:p w14:paraId="24D2B113"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3773.221669</w:t>
            </w:r>
          </w:p>
        </w:tc>
        <w:tc>
          <w:tcPr>
            <w:tcW w:w="1900" w:type="dxa"/>
            <w:tcBorders>
              <w:top w:val="nil"/>
              <w:left w:val="nil"/>
              <w:bottom w:val="nil"/>
              <w:right w:val="nil"/>
            </w:tcBorders>
            <w:shd w:val="clear" w:color="auto" w:fill="auto"/>
            <w:noWrap/>
            <w:vAlign w:val="center"/>
            <w:hideMark/>
          </w:tcPr>
          <w:p w14:paraId="41DFED76" w14:textId="77777777" w:rsidR="00F462B1" w:rsidRPr="00F462B1" w:rsidRDefault="00F462B1" w:rsidP="00F462B1">
            <w:pPr>
              <w:spacing w:after="0" w:line="240" w:lineRule="auto"/>
              <w:jc w:val="center"/>
              <w:rPr>
                <w:rFonts w:ascii="Calibri" w:eastAsia="Times New Roman" w:hAnsi="Calibri" w:cs="Calibri"/>
                <w:color w:val="000000"/>
              </w:rPr>
            </w:pPr>
            <w:r w:rsidRPr="00F462B1">
              <w:rPr>
                <w:rFonts w:ascii="Calibri" w:eastAsia="Times New Roman" w:hAnsi="Calibri" w:cs="Calibri"/>
                <w:color w:val="000000"/>
              </w:rPr>
              <w:t>61.42655508</w:t>
            </w:r>
          </w:p>
        </w:tc>
      </w:tr>
    </w:tbl>
    <w:p w14:paraId="1B126AD4" w14:textId="739A5DE7" w:rsidR="00F462B1" w:rsidRDefault="00F462B1" w:rsidP="00322445">
      <w:pPr>
        <w:spacing w:before="240" w:line="360" w:lineRule="auto"/>
        <w:jc w:val="center"/>
        <w:rPr>
          <w:sz w:val="20"/>
          <w:szCs w:val="20"/>
        </w:rPr>
      </w:pPr>
      <w:r w:rsidRPr="00F462B1">
        <w:rPr>
          <w:sz w:val="20"/>
          <w:szCs w:val="20"/>
        </w:rPr>
        <w:t xml:space="preserve">Table 2: Summary statistics </w:t>
      </w:r>
      <w:r>
        <w:rPr>
          <w:sz w:val="20"/>
          <w:szCs w:val="20"/>
        </w:rPr>
        <w:t>t</w:t>
      </w:r>
      <w:r w:rsidRPr="00F462B1">
        <w:rPr>
          <w:sz w:val="20"/>
          <w:szCs w:val="20"/>
        </w:rPr>
        <w:t>able</w:t>
      </w:r>
    </w:p>
    <w:p w14:paraId="059D50A1" w14:textId="3C4E7AE3" w:rsidR="00F462B1" w:rsidRDefault="00322445" w:rsidP="00F462B1">
      <w:pPr>
        <w:spacing w:line="360" w:lineRule="auto"/>
        <w:rPr>
          <w:sz w:val="24"/>
          <w:szCs w:val="24"/>
        </w:rPr>
      </w:pPr>
      <w:r>
        <w:rPr>
          <w:sz w:val="24"/>
          <w:szCs w:val="24"/>
        </w:rPr>
        <w:t>t</w:t>
      </w:r>
      <w:r w:rsidR="00E33CA9">
        <w:rPr>
          <w:sz w:val="24"/>
          <w:szCs w:val="24"/>
        </w:rPr>
        <w:t xml:space="preserve">he mean, the minimum, the maximum, the variance and the standard deviation. After calculation, it looks like </w:t>
      </w:r>
      <w:r w:rsidR="004A49F8">
        <w:rPr>
          <w:sz w:val="24"/>
          <w:szCs w:val="24"/>
        </w:rPr>
        <w:t>the median summarizes the data more meaningfully than the mean. The outliers i</w:t>
      </w:r>
      <w:r w:rsidR="009C2099">
        <w:rPr>
          <w:sz w:val="24"/>
          <w:szCs w:val="24"/>
        </w:rPr>
        <w:t>n</w:t>
      </w:r>
      <w:r w:rsidR="004A49F8">
        <w:rPr>
          <w:sz w:val="24"/>
          <w:szCs w:val="24"/>
        </w:rPr>
        <w:t xml:space="preserve"> successful campaigns</w:t>
      </w:r>
      <w:r w:rsidR="009C2099">
        <w:rPr>
          <w:sz w:val="24"/>
          <w:szCs w:val="24"/>
        </w:rPr>
        <w:t>, which is 26457 skew the mean and doesn’t give a precise picture of the dataset.</w:t>
      </w:r>
    </w:p>
    <w:p w14:paraId="65755847" w14:textId="77777777" w:rsidR="00F462B1" w:rsidRPr="002A3629" w:rsidRDefault="00F462B1" w:rsidP="00F462B1">
      <w:pPr>
        <w:spacing w:line="360" w:lineRule="auto"/>
        <w:rPr>
          <w:sz w:val="24"/>
          <w:szCs w:val="24"/>
        </w:rPr>
      </w:pPr>
    </w:p>
    <w:p w14:paraId="2CF8696F" w14:textId="77777777" w:rsidR="00F462B1" w:rsidRPr="002A3629" w:rsidRDefault="00F462B1" w:rsidP="00907EDC">
      <w:pPr>
        <w:spacing w:line="360" w:lineRule="auto"/>
        <w:rPr>
          <w:sz w:val="24"/>
          <w:szCs w:val="24"/>
        </w:rPr>
      </w:pPr>
    </w:p>
    <w:sectPr w:rsidR="00F462B1" w:rsidRPr="002A3629" w:rsidSect="00E33CA9">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9FB4CB" w14:textId="77777777" w:rsidR="00497E76" w:rsidRDefault="00497E76" w:rsidP="000F7A99">
      <w:pPr>
        <w:spacing w:after="0" w:line="240" w:lineRule="auto"/>
      </w:pPr>
      <w:r>
        <w:separator/>
      </w:r>
    </w:p>
  </w:endnote>
  <w:endnote w:type="continuationSeparator" w:id="0">
    <w:p w14:paraId="216FE502" w14:textId="77777777" w:rsidR="00497E76" w:rsidRDefault="00497E76" w:rsidP="000F7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yriad Pro Cond">
    <w:panose1 w:val="020B0506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38394789"/>
      <w:docPartObj>
        <w:docPartGallery w:val="Page Numbers (Bottom of Page)"/>
        <w:docPartUnique/>
      </w:docPartObj>
    </w:sdtPr>
    <w:sdtEndPr>
      <w:rPr>
        <w:noProof/>
      </w:rPr>
    </w:sdtEndPr>
    <w:sdtContent>
      <w:p w14:paraId="00D91025" w14:textId="7F50D56A" w:rsidR="00E33CA9" w:rsidRDefault="00E33C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2F287D" w14:textId="1D8134F3" w:rsidR="008234DC" w:rsidRPr="008234DC" w:rsidRDefault="008234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A2CECB" w14:textId="77777777" w:rsidR="00497E76" w:rsidRDefault="00497E76" w:rsidP="000F7A99">
      <w:pPr>
        <w:spacing w:after="0" w:line="240" w:lineRule="auto"/>
      </w:pPr>
      <w:r>
        <w:separator/>
      </w:r>
    </w:p>
  </w:footnote>
  <w:footnote w:type="continuationSeparator" w:id="0">
    <w:p w14:paraId="73F79BAE" w14:textId="77777777" w:rsidR="00497E76" w:rsidRDefault="00497E76" w:rsidP="000F7A99">
      <w:pPr>
        <w:spacing w:after="0" w:line="240" w:lineRule="auto"/>
      </w:pPr>
      <w:r>
        <w:continuationSeparator/>
      </w:r>
    </w:p>
  </w:footnote>
  <w:footnote w:id="1">
    <w:p w14:paraId="6B47DE37" w14:textId="09D1F8B1" w:rsidR="002F79EE" w:rsidRPr="002F79EE" w:rsidRDefault="002F79EE">
      <w:pPr>
        <w:pStyle w:val="FootnoteText"/>
        <w:rPr>
          <w:lang w:val="fr-FR"/>
        </w:rPr>
      </w:pPr>
      <w:r>
        <w:rPr>
          <w:rStyle w:val="FootnoteReference"/>
        </w:rPr>
        <w:footnoteRef/>
      </w:r>
      <w:r w:rsidRPr="002F79EE">
        <w:rPr>
          <w:lang w:val="fr-FR"/>
        </w:rPr>
        <w:t xml:space="preserve"> </w:t>
      </w:r>
      <w:r>
        <w:rPr>
          <w:lang w:val="fr-FR"/>
        </w:rPr>
        <w:t xml:space="preserve">Source : </w:t>
      </w:r>
      <w:r w:rsidRPr="00B60253">
        <w:rPr>
          <w:lang w:val="fr-FR"/>
        </w:rPr>
        <w:t>https://assets.kpmg/content/dam/kpmg/us/pdf/2019/06/investment-in-technology-innovation-2019.pdf</w:t>
      </w:r>
    </w:p>
  </w:footnote>
  <w:footnote w:id="2">
    <w:p w14:paraId="72A30371" w14:textId="0D3B8C50" w:rsidR="004F661E" w:rsidRPr="004F661E" w:rsidRDefault="004F661E">
      <w:pPr>
        <w:pStyle w:val="FootnoteText"/>
        <w:rPr>
          <w:lang w:val="fr-FR"/>
        </w:rPr>
      </w:pPr>
      <w:r>
        <w:rPr>
          <w:rStyle w:val="FootnoteReference"/>
        </w:rPr>
        <w:footnoteRef/>
      </w:r>
      <w:r w:rsidRPr="004F661E">
        <w:rPr>
          <w:lang w:val="fr-FR"/>
        </w:rPr>
        <w:t xml:space="preserve"> </w:t>
      </w:r>
      <w:r>
        <w:rPr>
          <w:lang w:val="fr-FR"/>
        </w:rPr>
        <w:t xml:space="preserve">Source : </w:t>
      </w:r>
      <w:r w:rsidRPr="00B60253">
        <w:rPr>
          <w:lang w:val="fr-FR"/>
        </w:rPr>
        <w:t>https://www.midiaresearch.com/blog/independent-labels-grew-global-market-share-to-39-9-in-2017</w:t>
      </w:r>
    </w:p>
  </w:footnote>
  <w:footnote w:id="3">
    <w:p w14:paraId="1C576009" w14:textId="6C0893C9" w:rsidR="00EA41D7" w:rsidRPr="00EA41D7" w:rsidRDefault="00EA41D7">
      <w:pPr>
        <w:pStyle w:val="FootnoteText"/>
        <w:rPr>
          <w:lang w:val="fr-FR"/>
        </w:rPr>
      </w:pPr>
      <w:r>
        <w:rPr>
          <w:rStyle w:val="FootnoteReference"/>
        </w:rPr>
        <w:footnoteRef/>
      </w:r>
      <w:r w:rsidRPr="00EA41D7">
        <w:rPr>
          <w:lang w:val="fr-FR"/>
        </w:rPr>
        <w:t xml:space="preserve"> Source: </w:t>
      </w:r>
      <w:r w:rsidRPr="00B60253">
        <w:rPr>
          <w:lang w:val="fr-FR"/>
        </w:rPr>
        <w:t>https://www.statista.com/statistics/442354/music-genres-preferred-consumers-usa/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A27"/>
    <w:rsid w:val="00000BC7"/>
    <w:rsid w:val="0005253A"/>
    <w:rsid w:val="000B5A6E"/>
    <w:rsid w:val="000B7352"/>
    <w:rsid w:val="000C209D"/>
    <w:rsid w:val="000F7A99"/>
    <w:rsid w:val="00124F7B"/>
    <w:rsid w:val="00176D8F"/>
    <w:rsid w:val="001A78DC"/>
    <w:rsid w:val="001E615F"/>
    <w:rsid w:val="00247255"/>
    <w:rsid w:val="002A3629"/>
    <w:rsid w:val="002B4B5B"/>
    <w:rsid w:val="002F79EE"/>
    <w:rsid w:val="00312464"/>
    <w:rsid w:val="00320C01"/>
    <w:rsid w:val="00322445"/>
    <w:rsid w:val="00345C29"/>
    <w:rsid w:val="00433F94"/>
    <w:rsid w:val="00473BDB"/>
    <w:rsid w:val="00497E76"/>
    <w:rsid w:val="004A49F8"/>
    <w:rsid w:val="004F661E"/>
    <w:rsid w:val="00514925"/>
    <w:rsid w:val="005319EC"/>
    <w:rsid w:val="0059667B"/>
    <w:rsid w:val="005A2B91"/>
    <w:rsid w:val="00680DCE"/>
    <w:rsid w:val="00692FDB"/>
    <w:rsid w:val="006D4E0F"/>
    <w:rsid w:val="006F372C"/>
    <w:rsid w:val="00751180"/>
    <w:rsid w:val="00793216"/>
    <w:rsid w:val="007A2F0A"/>
    <w:rsid w:val="007B78B2"/>
    <w:rsid w:val="007C4AF3"/>
    <w:rsid w:val="007F16FB"/>
    <w:rsid w:val="007F34A3"/>
    <w:rsid w:val="008234DC"/>
    <w:rsid w:val="00852A27"/>
    <w:rsid w:val="00874A8E"/>
    <w:rsid w:val="00886ABD"/>
    <w:rsid w:val="008C45B0"/>
    <w:rsid w:val="00907EDC"/>
    <w:rsid w:val="00911655"/>
    <w:rsid w:val="009729DD"/>
    <w:rsid w:val="009A518D"/>
    <w:rsid w:val="009B238E"/>
    <w:rsid w:val="009B4EBB"/>
    <w:rsid w:val="009C2099"/>
    <w:rsid w:val="009D05D4"/>
    <w:rsid w:val="00A12BC4"/>
    <w:rsid w:val="00A426C0"/>
    <w:rsid w:val="00A940AD"/>
    <w:rsid w:val="00B60253"/>
    <w:rsid w:val="00B7055E"/>
    <w:rsid w:val="00BD38EC"/>
    <w:rsid w:val="00C0403C"/>
    <w:rsid w:val="00C467F2"/>
    <w:rsid w:val="00C65912"/>
    <w:rsid w:val="00C96429"/>
    <w:rsid w:val="00E33CA9"/>
    <w:rsid w:val="00E605E6"/>
    <w:rsid w:val="00EA41D7"/>
    <w:rsid w:val="00EB6179"/>
    <w:rsid w:val="00EE173A"/>
    <w:rsid w:val="00F068BC"/>
    <w:rsid w:val="00F421E1"/>
    <w:rsid w:val="00F462B1"/>
    <w:rsid w:val="00F72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FD0C5"/>
  <w15:chartTrackingRefBased/>
  <w15:docId w15:val="{A6628EDF-C579-4A38-9423-66A7E454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4B5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F7A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A99"/>
  </w:style>
  <w:style w:type="paragraph" w:styleId="Footer">
    <w:name w:val="footer"/>
    <w:basedOn w:val="Normal"/>
    <w:link w:val="FooterChar"/>
    <w:uiPriority w:val="99"/>
    <w:unhideWhenUsed/>
    <w:rsid w:val="000F7A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A99"/>
  </w:style>
  <w:style w:type="paragraph" w:styleId="FootnoteText">
    <w:name w:val="footnote text"/>
    <w:basedOn w:val="Normal"/>
    <w:link w:val="FootnoteTextChar"/>
    <w:uiPriority w:val="99"/>
    <w:semiHidden/>
    <w:unhideWhenUsed/>
    <w:rsid w:val="004F661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661E"/>
    <w:rPr>
      <w:sz w:val="20"/>
      <w:szCs w:val="20"/>
    </w:rPr>
  </w:style>
  <w:style w:type="character" w:styleId="FootnoteReference">
    <w:name w:val="footnote reference"/>
    <w:basedOn w:val="DefaultParagraphFont"/>
    <w:uiPriority w:val="99"/>
    <w:semiHidden/>
    <w:unhideWhenUsed/>
    <w:rsid w:val="004F661E"/>
    <w:rPr>
      <w:vertAlign w:val="superscript"/>
    </w:rPr>
  </w:style>
  <w:style w:type="character" w:styleId="Hyperlink">
    <w:name w:val="Hyperlink"/>
    <w:basedOn w:val="DefaultParagraphFont"/>
    <w:uiPriority w:val="99"/>
    <w:semiHidden/>
    <w:unhideWhenUsed/>
    <w:rsid w:val="004F661E"/>
    <w:rPr>
      <w:color w:val="0000FF"/>
      <w:u w:val="single"/>
    </w:rPr>
  </w:style>
  <w:style w:type="table" w:styleId="TableGrid">
    <w:name w:val="Table Grid"/>
    <w:basedOn w:val="TableNormal"/>
    <w:uiPriority w:val="39"/>
    <w:rsid w:val="00EA4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503026">
      <w:bodyDiv w:val="1"/>
      <w:marLeft w:val="0"/>
      <w:marRight w:val="0"/>
      <w:marTop w:val="0"/>
      <w:marBottom w:val="0"/>
      <w:divBdr>
        <w:top w:val="none" w:sz="0" w:space="0" w:color="auto"/>
        <w:left w:val="none" w:sz="0" w:space="0" w:color="auto"/>
        <w:bottom w:val="none" w:sz="0" w:space="0" w:color="auto"/>
        <w:right w:val="none" w:sz="0" w:space="0" w:color="auto"/>
      </w:divBdr>
    </w:div>
    <w:div w:id="1206333566">
      <w:bodyDiv w:val="1"/>
      <w:marLeft w:val="0"/>
      <w:marRight w:val="0"/>
      <w:marTop w:val="0"/>
      <w:marBottom w:val="0"/>
      <w:divBdr>
        <w:top w:val="none" w:sz="0" w:space="0" w:color="auto"/>
        <w:left w:val="none" w:sz="0" w:space="0" w:color="auto"/>
        <w:bottom w:val="none" w:sz="0" w:space="0" w:color="auto"/>
        <w:right w:val="none" w:sz="0" w:space="0" w:color="auto"/>
      </w:divBdr>
    </w:div>
    <w:div w:id="1559248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4.xml"/><Relationship Id="rId5" Type="http://schemas.openxmlformats.org/officeDocument/2006/relationships/footnotes" Target="footnotes.xml"/><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StarterBook%20-%20VUD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tarterBook%20-%20VUD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tarterBook%20-%20VUD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tarterBook%20-%20VUD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[StarterBook - VUDA.xlsx]CATEGORY PIVOT!PivotTable5</c:name>
    <c:fmtId val="-1"/>
  </c:pivotSource>
  <c:chart>
    <c:autoTitleDeleted val="0"/>
    <c:pivotFmts>
      <c:pivotFmt>
        <c:idx val="0"/>
        <c:spPr>
          <a:solidFill>
            <a:srgbClr val="1BC34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bg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bg2">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rgbClr val="1BC34F"/>
          </a:solidFill>
          <a:ln>
            <a:noFill/>
          </a:ln>
          <a:effectLst/>
        </c:spPr>
      </c:pivotFmt>
      <c:pivotFmt>
        <c:idx val="5"/>
        <c:spPr>
          <a:solidFill>
            <a:srgbClr val="1BC34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bg2">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bg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rgbClr val="1BC34F"/>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bg2">
              <a:lumMod val="5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bg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5"/>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'CATEGORY PIVOT'!$B$3:$B$4</c:f>
              <c:strCache>
                <c:ptCount val="1"/>
                <c:pt idx="0">
                  <c:v>successful</c:v>
                </c:pt>
              </c:strCache>
            </c:strRef>
          </c:tx>
          <c:spPr>
            <a:solidFill>
              <a:srgbClr val="1BC34F"/>
            </a:solidFill>
            <a:ln>
              <a:noFill/>
            </a:ln>
            <a:effectLst/>
          </c:spPr>
          <c:invertIfNegative val="0"/>
          <c:cat>
            <c:strRef>
              <c:f>'CATEGORY PIVOT'!$A$5:$A$14</c:f>
              <c:strCache>
                <c:ptCount val="9"/>
                <c:pt idx="0">
                  <c:v>film &amp; video</c:v>
                </c:pt>
                <c:pt idx="1">
                  <c:v>food</c:v>
                </c:pt>
                <c:pt idx="2">
                  <c:v>games</c:v>
                </c:pt>
                <c:pt idx="3">
                  <c:v>journalism</c:v>
                </c:pt>
                <c:pt idx="4">
                  <c:v>music</c:v>
                </c:pt>
                <c:pt idx="5">
                  <c:v>photography</c:v>
                </c:pt>
                <c:pt idx="6">
                  <c:v>publishing</c:v>
                </c:pt>
                <c:pt idx="7">
                  <c:v>technology</c:v>
                </c:pt>
                <c:pt idx="8">
                  <c:v>theater</c:v>
                </c:pt>
              </c:strCache>
            </c:strRef>
          </c:cat>
          <c:val>
            <c:numRef>
              <c:f>'CATEGORY PIVOT'!$B$5:$B$14</c:f>
              <c:numCache>
                <c:formatCode>General</c:formatCode>
                <c:ptCount val="9"/>
                <c:pt idx="0">
                  <c:v>300</c:v>
                </c:pt>
                <c:pt idx="1">
                  <c:v>34</c:v>
                </c:pt>
                <c:pt idx="2">
                  <c:v>80</c:v>
                </c:pt>
                <c:pt idx="4">
                  <c:v>540</c:v>
                </c:pt>
                <c:pt idx="5">
                  <c:v>103</c:v>
                </c:pt>
                <c:pt idx="6">
                  <c:v>80</c:v>
                </c:pt>
                <c:pt idx="7">
                  <c:v>209</c:v>
                </c:pt>
                <c:pt idx="8">
                  <c:v>839</c:v>
                </c:pt>
              </c:numCache>
            </c:numRef>
          </c:val>
          <c:extLst>
            <c:ext xmlns:c16="http://schemas.microsoft.com/office/drawing/2014/chart" uri="{C3380CC4-5D6E-409C-BE32-E72D297353CC}">
              <c16:uniqueId val="{00000000-722F-4C8C-806F-C86FD4FBAEED}"/>
            </c:ext>
          </c:extLst>
        </c:ser>
        <c:ser>
          <c:idx val="1"/>
          <c:order val="1"/>
          <c:tx>
            <c:strRef>
              <c:f>'CATEGORY PIVOT'!$C$3:$C$4</c:f>
              <c:strCache>
                <c:ptCount val="1"/>
                <c:pt idx="0">
                  <c:v>failed</c:v>
                </c:pt>
              </c:strCache>
            </c:strRef>
          </c:tx>
          <c:spPr>
            <a:solidFill>
              <a:schemeClr val="bg2">
                <a:lumMod val="50000"/>
              </a:schemeClr>
            </a:solidFill>
            <a:ln>
              <a:noFill/>
            </a:ln>
            <a:effectLst/>
          </c:spPr>
          <c:invertIfNegative val="0"/>
          <c:cat>
            <c:strRef>
              <c:f>'CATEGORY PIVOT'!$A$5:$A$14</c:f>
              <c:strCache>
                <c:ptCount val="9"/>
                <c:pt idx="0">
                  <c:v>film &amp; video</c:v>
                </c:pt>
                <c:pt idx="1">
                  <c:v>food</c:v>
                </c:pt>
                <c:pt idx="2">
                  <c:v>games</c:v>
                </c:pt>
                <c:pt idx="3">
                  <c:v>journalism</c:v>
                </c:pt>
                <c:pt idx="4">
                  <c:v>music</c:v>
                </c:pt>
                <c:pt idx="5">
                  <c:v>photography</c:v>
                </c:pt>
                <c:pt idx="6">
                  <c:v>publishing</c:v>
                </c:pt>
                <c:pt idx="7">
                  <c:v>technology</c:v>
                </c:pt>
                <c:pt idx="8">
                  <c:v>theater</c:v>
                </c:pt>
              </c:strCache>
            </c:strRef>
          </c:cat>
          <c:val>
            <c:numRef>
              <c:f>'CATEGORY PIVOT'!$C$5:$C$14</c:f>
              <c:numCache>
                <c:formatCode>General</c:formatCode>
                <c:ptCount val="9"/>
                <c:pt idx="0">
                  <c:v>180</c:v>
                </c:pt>
                <c:pt idx="1">
                  <c:v>140</c:v>
                </c:pt>
                <c:pt idx="2">
                  <c:v>140</c:v>
                </c:pt>
                <c:pt idx="4">
                  <c:v>120</c:v>
                </c:pt>
                <c:pt idx="5">
                  <c:v>117</c:v>
                </c:pt>
                <c:pt idx="6">
                  <c:v>127</c:v>
                </c:pt>
                <c:pt idx="7">
                  <c:v>213</c:v>
                </c:pt>
                <c:pt idx="8">
                  <c:v>493</c:v>
                </c:pt>
              </c:numCache>
            </c:numRef>
          </c:val>
          <c:extLst>
            <c:ext xmlns:c16="http://schemas.microsoft.com/office/drawing/2014/chart" uri="{C3380CC4-5D6E-409C-BE32-E72D297353CC}">
              <c16:uniqueId val="{00000001-722F-4C8C-806F-C86FD4FBAEED}"/>
            </c:ext>
          </c:extLst>
        </c:ser>
        <c:ser>
          <c:idx val="2"/>
          <c:order val="2"/>
          <c:tx>
            <c:strRef>
              <c:f>'CATEGORY PIVOT'!$D$3:$D$4</c:f>
              <c:strCache>
                <c:ptCount val="1"/>
                <c:pt idx="0">
                  <c:v>canceled</c:v>
                </c:pt>
              </c:strCache>
            </c:strRef>
          </c:tx>
          <c:spPr>
            <a:solidFill>
              <a:schemeClr val="bg1">
                <a:lumMod val="75000"/>
              </a:schemeClr>
            </a:solidFill>
            <a:ln>
              <a:noFill/>
            </a:ln>
            <a:effectLst/>
          </c:spPr>
          <c:invertIfNegative val="0"/>
          <c:cat>
            <c:strRef>
              <c:f>'CATEGORY PIVOT'!$A$5:$A$14</c:f>
              <c:strCache>
                <c:ptCount val="9"/>
                <c:pt idx="0">
                  <c:v>film &amp; video</c:v>
                </c:pt>
                <c:pt idx="1">
                  <c:v>food</c:v>
                </c:pt>
                <c:pt idx="2">
                  <c:v>games</c:v>
                </c:pt>
                <c:pt idx="3">
                  <c:v>journalism</c:v>
                </c:pt>
                <c:pt idx="4">
                  <c:v>music</c:v>
                </c:pt>
                <c:pt idx="5">
                  <c:v>photography</c:v>
                </c:pt>
                <c:pt idx="6">
                  <c:v>publishing</c:v>
                </c:pt>
                <c:pt idx="7">
                  <c:v>technology</c:v>
                </c:pt>
                <c:pt idx="8">
                  <c:v>theater</c:v>
                </c:pt>
              </c:strCache>
            </c:strRef>
          </c:cat>
          <c:val>
            <c:numRef>
              <c:f>'CATEGORY PIVOT'!$D$5:$D$14</c:f>
              <c:numCache>
                <c:formatCode>General</c:formatCode>
                <c:ptCount val="9"/>
                <c:pt idx="0">
                  <c:v>40</c:v>
                </c:pt>
                <c:pt idx="1">
                  <c:v>20</c:v>
                </c:pt>
                <c:pt idx="3">
                  <c:v>24</c:v>
                </c:pt>
                <c:pt idx="4">
                  <c:v>20</c:v>
                </c:pt>
                <c:pt idx="6">
                  <c:v>30</c:v>
                </c:pt>
                <c:pt idx="7">
                  <c:v>178</c:v>
                </c:pt>
                <c:pt idx="8">
                  <c:v>37</c:v>
                </c:pt>
              </c:numCache>
            </c:numRef>
          </c:val>
          <c:extLst>
            <c:ext xmlns:c16="http://schemas.microsoft.com/office/drawing/2014/chart" uri="{C3380CC4-5D6E-409C-BE32-E72D297353CC}">
              <c16:uniqueId val="{00000002-722F-4C8C-806F-C86FD4FBAEED}"/>
            </c:ext>
          </c:extLst>
        </c:ser>
        <c:ser>
          <c:idx val="3"/>
          <c:order val="3"/>
          <c:tx>
            <c:strRef>
              <c:f>'CATEGORY PIVOT'!$E$3:$E$4</c:f>
              <c:strCache>
                <c:ptCount val="1"/>
                <c:pt idx="0">
                  <c:v>live</c:v>
                </c:pt>
              </c:strCache>
            </c:strRef>
          </c:tx>
          <c:spPr>
            <a:solidFill>
              <a:schemeClr val="accent5"/>
            </a:solidFill>
            <a:ln>
              <a:noFill/>
            </a:ln>
            <a:effectLst/>
          </c:spPr>
          <c:invertIfNegative val="0"/>
          <c:cat>
            <c:strRef>
              <c:f>'CATEGORY PIVOT'!$A$5:$A$14</c:f>
              <c:strCache>
                <c:ptCount val="9"/>
                <c:pt idx="0">
                  <c:v>film &amp; video</c:v>
                </c:pt>
                <c:pt idx="1">
                  <c:v>food</c:v>
                </c:pt>
                <c:pt idx="2">
                  <c:v>games</c:v>
                </c:pt>
                <c:pt idx="3">
                  <c:v>journalism</c:v>
                </c:pt>
                <c:pt idx="4">
                  <c:v>music</c:v>
                </c:pt>
                <c:pt idx="5">
                  <c:v>photography</c:v>
                </c:pt>
                <c:pt idx="6">
                  <c:v>publishing</c:v>
                </c:pt>
                <c:pt idx="7">
                  <c:v>technology</c:v>
                </c:pt>
                <c:pt idx="8">
                  <c:v>theater</c:v>
                </c:pt>
              </c:strCache>
            </c:strRef>
          </c:cat>
          <c:val>
            <c:numRef>
              <c:f>'CATEGORY PIVOT'!$E$5:$E$14</c:f>
              <c:numCache>
                <c:formatCode>General</c:formatCode>
                <c:ptCount val="9"/>
                <c:pt idx="1">
                  <c:v>6</c:v>
                </c:pt>
                <c:pt idx="4">
                  <c:v>20</c:v>
                </c:pt>
                <c:pt idx="8">
                  <c:v>24</c:v>
                </c:pt>
              </c:numCache>
            </c:numRef>
          </c:val>
          <c:extLst>
            <c:ext xmlns:c16="http://schemas.microsoft.com/office/drawing/2014/chart" uri="{C3380CC4-5D6E-409C-BE32-E72D297353CC}">
              <c16:uniqueId val="{00000003-722F-4C8C-806F-C86FD4FBAEED}"/>
            </c:ext>
          </c:extLst>
        </c:ser>
        <c:dLbls>
          <c:showLegendKey val="0"/>
          <c:showVal val="0"/>
          <c:showCatName val="0"/>
          <c:showSerName val="0"/>
          <c:showPercent val="0"/>
          <c:showBubbleSize val="0"/>
        </c:dLbls>
        <c:gapWidth val="150"/>
        <c:overlap val="100"/>
        <c:axId val="1669278784"/>
        <c:axId val="1815513024"/>
      </c:barChart>
      <c:catAx>
        <c:axId val="16692787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rPr>
                  <a:t>Category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5513024"/>
        <c:crosses val="autoZero"/>
        <c:auto val="1"/>
        <c:lblAlgn val="ctr"/>
        <c:lblOffset val="100"/>
        <c:noMultiLvlLbl val="0"/>
      </c:catAx>
      <c:valAx>
        <c:axId val="181551302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solidFill>
                      <a:sysClr val="windowText" lastClr="000000"/>
                    </a:solidFill>
                  </a:rPr>
                  <a:t>Count of State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92787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[StarterBook - VUDA.xlsx]SUB-CATEGORY PIVOT!PivotTable6</c:name>
    <c:fmtId val="-1"/>
  </c:pivotSource>
  <c:chart>
    <c:autoTitleDeleted val="0"/>
    <c:pivotFmts>
      <c:pivotFmt>
        <c:idx val="0"/>
        <c:spPr>
          <a:solidFill>
            <a:srgbClr val="1BC34F"/>
          </a:solidFill>
          <a:ln>
            <a:solidFill>
              <a:srgbClr val="1BC34F"/>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bg1">
              <a:lumMod val="65000"/>
            </a:schemeClr>
          </a:solidFill>
          <a:ln>
            <a:solidFill>
              <a:schemeClr val="bg1">
                <a:lumMod val="65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bg2">
              <a:lumMod val="50000"/>
            </a:schemeClr>
          </a:solidFill>
          <a:ln>
            <a:solidFill>
              <a:schemeClr val="bg2">
                <a:lumMod val="50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5"/>
          </a:solidFill>
          <a:ln>
            <a:solidFill>
              <a:schemeClr val="accent5"/>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5"/>
          </a:solidFill>
          <a:ln>
            <a:solidFill>
              <a:schemeClr val="accent5"/>
            </a:solidFill>
          </a:ln>
          <a:effectLst/>
        </c:spPr>
      </c:pivotFmt>
      <c:pivotFmt>
        <c:idx val="5"/>
        <c:spPr>
          <a:solidFill>
            <a:srgbClr val="1BC34F"/>
          </a:solidFill>
          <a:ln>
            <a:solidFill>
              <a:srgbClr val="1BC34F"/>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bg2">
              <a:lumMod val="50000"/>
            </a:schemeClr>
          </a:solidFill>
          <a:ln>
            <a:solidFill>
              <a:schemeClr val="bg2">
                <a:lumMod val="50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bg1">
              <a:lumMod val="65000"/>
            </a:schemeClr>
          </a:solidFill>
          <a:ln>
            <a:solidFill>
              <a:schemeClr val="bg1">
                <a:lumMod val="65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5"/>
          </a:solidFill>
          <a:ln>
            <a:solidFill>
              <a:schemeClr val="accent5"/>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rgbClr val="1BC34F"/>
          </a:solidFill>
          <a:ln>
            <a:solidFill>
              <a:srgbClr val="1BC34F"/>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bg2">
              <a:lumMod val="50000"/>
            </a:schemeClr>
          </a:solidFill>
          <a:ln>
            <a:solidFill>
              <a:schemeClr val="bg2">
                <a:lumMod val="50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bg1">
              <a:lumMod val="65000"/>
            </a:schemeClr>
          </a:solidFill>
          <a:ln>
            <a:solidFill>
              <a:schemeClr val="bg1">
                <a:lumMod val="65000"/>
              </a:schemeClr>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5"/>
          </a:solidFill>
          <a:ln>
            <a:solidFill>
              <a:schemeClr val="accent5"/>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'SUB-CATEGORY PIVOT'!$B$4:$B$5</c:f>
              <c:strCache>
                <c:ptCount val="1"/>
                <c:pt idx="0">
                  <c:v>successful</c:v>
                </c:pt>
              </c:strCache>
            </c:strRef>
          </c:tx>
          <c:spPr>
            <a:solidFill>
              <a:srgbClr val="1BC34F"/>
            </a:solidFill>
            <a:ln>
              <a:solidFill>
                <a:srgbClr val="1BC34F"/>
              </a:solidFill>
            </a:ln>
            <a:effectLst/>
          </c:spPr>
          <c:invertIfNegative val="0"/>
          <c:cat>
            <c:strRef>
              <c:f>'SUB-CATEGORY PIVOT'!$A$6:$A$47</c:f>
              <c:strCache>
                <c:ptCount val="41"/>
                <c:pt idx="0">
                  <c:v>animation</c:v>
                </c:pt>
                <c:pt idx="1">
                  <c:v>art books</c:v>
                </c:pt>
                <c:pt idx="2">
                  <c:v>audio</c:v>
                </c:pt>
                <c:pt idx="3">
                  <c:v>children's books</c:v>
                </c:pt>
                <c:pt idx="4">
                  <c:v>classical music</c:v>
                </c:pt>
                <c:pt idx="5">
                  <c:v>documentary</c:v>
                </c:pt>
                <c:pt idx="6">
                  <c:v>drama</c:v>
                </c:pt>
                <c:pt idx="7">
                  <c:v>electronic music</c:v>
                </c:pt>
                <c:pt idx="8">
                  <c:v>faith</c:v>
                </c:pt>
                <c:pt idx="9">
                  <c:v>fiction</c:v>
                </c:pt>
                <c:pt idx="10">
                  <c:v>food trucks</c:v>
                </c:pt>
                <c:pt idx="11">
                  <c:v>gadgets</c:v>
                </c:pt>
                <c:pt idx="12">
                  <c:v>hardware</c:v>
                </c:pt>
                <c:pt idx="13">
                  <c:v>indie rock</c:v>
                </c:pt>
                <c:pt idx="14">
                  <c:v>jazz</c:v>
                </c:pt>
                <c:pt idx="15">
                  <c:v>makerspaces</c:v>
                </c:pt>
                <c:pt idx="16">
                  <c:v>metal</c:v>
                </c:pt>
                <c:pt idx="17">
                  <c:v>mobile games</c:v>
                </c:pt>
                <c:pt idx="18">
                  <c:v>musical</c:v>
                </c:pt>
                <c:pt idx="19">
                  <c:v>nature</c:v>
                </c:pt>
                <c:pt idx="20">
                  <c:v>nonfiction</c:v>
                </c:pt>
                <c:pt idx="21">
                  <c:v>people</c:v>
                </c:pt>
                <c:pt idx="22">
                  <c:v>photobooks</c:v>
                </c:pt>
                <c:pt idx="23">
                  <c:v>places</c:v>
                </c:pt>
                <c:pt idx="24">
                  <c:v>plays</c:v>
                </c:pt>
                <c:pt idx="25">
                  <c:v>pop</c:v>
                </c:pt>
                <c:pt idx="26">
                  <c:v>radio &amp; podcasts</c:v>
                </c:pt>
                <c:pt idx="27">
                  <c:v>restaurants</c:v>
                </c:pt>
                <c:pt idx="28">
                  <c:v>rock</c:v>
                </c:pt>
                <c:pt idx="29">
                  <c:v>science fiction</c:v>
                </c:pt>
                <c:pt idx="30">
                  <c:v>shorts</c:v>
                </c:pt>
                <c:pt idx="31">
                  <c:v>small batch</c:v>
                </c:pt>
                <c:pt idx="32">
                  <c:v>space exploration</c:v>
                </c:pt>
                <c:pt idx="33">
                  <c:v>spaces</c:v>
                </c:pt>
                <c:pt idx="34">
                  <c:v>tabletop games</c:v>
                </c:pt>
                <c:pt idx="35">
                  <c:v>television</c:v>
                </c:pt>
                <c:pt idx="36">
                  <c:v>translations</c:v>
                </c:pt>
                <c:pt idx="37">
                  <c:v>video games</c:v>
                </c:pt>
                <c:pt idx="38">
                  <c:v>wearables</c:v>
                </c:pt>
                <c:pt idx="39">
                  <c:v>web</c:v>
                </c:pt>
                <c:pt idx="40">
                  <c:v>world music</c:v>
                </c:pt>
              </c:strCache>
            </c:strRef>
          </c:cat>
          <c:val>
            <c:numRef>
              <c:f>'SUB-CATEGORY PIVOT'!$B$6:$B$47</c:f>
              <c:numCache>
                <c:formatCode>General</c:formatCode>
                <c:ptCount val="41"/>
                <c:pt idx="4">
                  <c:v>40</c:v>
                </c:pt>
                <c:pt idx="5">
                  <c:v>180</c:v>
                </c:pt>
                <c:pt idx="7">
                  <c:v>40</c:v>
                </c:pt>
                <c:pt idx="12">
                  <c:v>140</c:v>
                </c:pt>
                <c:pt idx="13">
                  <c:v>140</c:v>
                </c:pt>
                <c:pt idx="15">
                  <c:v>9</c:v>
                </c:pt>
                <c:pt idx="16">
                  <c:v>20</c:v>
                </c:pt>
                <c:pt idx="18">
                  <c:v>60</c:v>
                </c:pt>
                <c:pt idx="20">
                  <c:v>60</c:v>
                </c:pt>
                <c:pt idx="22">
                  <c:v>103</c:v>
                </c:pt>
                <c:pt idx="24">
                  <c:v>694</c:v>
                </c:pt>
                <c:pt idx="25">
                  <c:v>40</c:v>
                </c:pt>
                <c:pt idx="26">
                  <c:v>20</c:v>
                </c:pt>
                <c:pt idx="28">
                  <c:v>260</c:v>
                </c:pt>
                <c:pt idx="30">
                  <c:v>60</c:v>
                </c:pt>
                <c:pt idx="31">
                  <c:v>34</c:v>
                </c:pt>
                <c:pt idx="32">
                  <c:v>40</c:v>
                </c:pt>
                <c:pt idx="33">
                  <c:v>85</c:v>
                </c:pt>
                <c:pt idx="34">
                  <c:v>80</c:v>
                </c:pt>
                <c:pt idx="35">
                  <c:v>60</c:v>
                </c:pt>
                <c:pt idx="38">
                  <c:v>20</c:v>
                </c:pt>
              </c:numCache>
            </c:numRef>
          </c:val>
          <c:extLst>
            <c:ext xmlns:c16="http://schemas.microsoft.com/office/drawing/2014/chart" uri="{C3380CC4-5D6E-409C-BE32-E72D297353CC}">
              <c16:uniqueId val="{00000000-4B50-4D3F-9CBC-391ECD77E319}"/>
            </c:ext>
          </c:extLst>
        </c:ser>
        <c:ser>
          <c:idx val="1"/>
          <c:order val="1"/>
          <c:tx>
            <c:strRef>
              <c:f>'SUB-CATEGORY PIVOT'!$C$4:$C$5</c:f>
              <c:strCache>
                <c:ptCount val="1"/>
                <c:pt idx="0">
                  <c:v>failed</c:v>
                </c:pt>
              </c:strCache>
            </c:strRef>
          </c:tx>
          <c:spPr>
            <a:solidFill>
              <a:schemeClr val="bg2">
                <a:lumMod val="50000"/>
              </a:schemeClr>
            </a:solidFill>
            <a:ln>
              <a:solidFill>
                <a:schemeClr val="bg2">
                  <a:lumMod val="50000"/>
                </a:schemeClr>
              </a:solidFill>
            </a:ln>
            <a:effectLst/>
          </c:spPr>
          <c:invertIfNegative val="0"/>
          <c:cat>
            <c:strRef>
              <c:f>'SUB-CATEGORY PIVOT'!$A$6:$A$47</c:f>
              <c:strCache>
                <c:ptCount val="41"/>
                <c:pt idx="0">
                  <c:v>animation</c:v>
                </c:pt>
                <c:pt idx="1">
                  <c:v>art books</c:v>
                </c:pt>
                <c:pt idx="2">
                  <c:v>audio</c:v>
                </c:pt>
                <c:pt idx="3">
                  <c:v>children's books</c:v>
                </c:pt>
                <c:pt idx="4">
                  <c:v>classical music</c:v>
                </c:pt>
                <c:pt idx="5">
                  <c:v>documentary</c:v>
                </c:pt>
                <c:pt idx="6">
                  <c:v>drama</c:v>
                </c:pt>
                <c:pt idx="7">
                  <c:v>electronic music</c:v>
                </c:pt>
                <c:pt idx="8">
                  <c:v>faith</c:v>
                </c:pt>
                <c:pt idx="9">
                  <c:v>fiction</c:v>
                </c:pt>
                <c:pt idx="10">
                  <c:v>food trucks</c:v>
                </c:pt>
                <c:pt idx="11">
                  <c:v>gadgets</c:v>
                </c:pt>
                <c:pt idx="12">
                  <c:v>hardware</c:v>
                </c:pt>
                <c:pt idx="13">
                  <c:v>indie rock</c:v>
                </c:pt>
                <c:pt idx="14">
                  <c:v>jazz</c:v>
                </c:pt>
                <c:pt idx="15">
                  <c:v>makerspaces</c:v>
                </c:pt>
                <c:pt idx="16">
                  <c:v>metal</c:v>
                </c:pt>
                <c:pt idx="17">
                  <c:v>mobile games</c:v>
                </c:pt>
                <c:pt idx="18">
                  <c:v>musical</c:v>
                </c:pt>
                <c:pt idx="19">
                  <c:v>nature</c:v>
                </c:pt>
                <c:pt idx="20">
                  <c:v>nonfiction</c:v>
                </c:pt>
                <c:pt idx="21">
                  <c:v>people</c:v>
                </c:pt>
                <c:pt idx="22">
                  <c:v>photobooks</c:v>
                </c:pt>
                <c:pt idx="23">
                  <c:v>places</c:v>
                </c:pt>
                <c:pt idx="24">
                  <c:v>plays</c:v>
                </c:pt>
                <c:pt idx="25">
                  <c:v>pop</c:v>
                </c:pt>
                <c:pt idx="26">
                  <c:v>radio &amp; podcasts</c:v>
                </c:pt>
                <c:pt idx="27">
                  <c:v>restaurants</c:v>
                </c:pt>
                <c:pt idx="28">
                  <c:v>rock</c:v>
                </c:pt>
                <c:pt idx="29">
                  <c:v>science fiction</c:v>
                </c:pt>
                <c:pt idx="30">
                  <c:v>shorts</c:v>
                </c:pt>
                <c:pt idx="31">
                  <c:v>small batch</c:v>
                </c:pt>
                <c:pt idx="32">
                  <c:v>space exploration</c:v>
                </c:pt>
                <c:pt idx="33">
                  <c:v>spaces</c:v>
                </c:pt>
                <c:pt idx="34">
                  <c:v>tabletop games</c:v>
                </c:pt>
                <c:pt idx="35">
                  <c:v>television</c:v>
                </c:pt>
                <c:pt idx="36">
                  <c:v>translations</c:v>
                </c:pt>
                <c:pt idx="37">
                  <c:v>video games</c:v>
                </c:pt>
                <c:pt idx="38">
                  <c:v>wearables</c:v>
                </c:pt>
                <c:pt idx="39">
                  <c:v>web</c:v>
                </c:pt>
                <c:pt idx="40">
                  <c:v>world music</c:v>
                </c:pt>
              </c:strCache>
            </c:strRef>
          </c:cat>
          <c:val>
            <c:numRef>
              <c:f>'SUB-CATEGORY PIVOT'!$C$6:$C$47</c:f>
              <c:numCache>
                <c:formatCode>General</c:formatCode>
                <c:ptCount val="41"/>
                <c:pt idx="0">
                  <c:v>100</c:v>
                </c:pt>
                <c:pt idx="3">
                  <c:v>40</c:v>
                </c:pt>
                <c:pt idx="6">
                  <c:v>80</c:v>
                </c:pt>
                <c:pt idx="8">
                  <c:v>40</c:v>
                </c:pt>
                <c:pt idx="9">
                  <c:v>40</c:v>
                </c:pt>
                <c:pt idx="10">
                  <c:v>120</c:v>
                </c:pt>
                <c:pt idx="11">
                  <c:v>20</c:v>
                </c:pt>
                <c:pt idx="13">
                  <c:v>20</c:v>
                </c:pt>
                <c:pt idx="14">
                  <c:v>60</c:v>
                </c:pt>
                <c:pt idx="15">
                  <c:v>11</c:v>
                </c:pt>
                <c:pt idx="17">
                  <c:v>40</c:v>
                </c:pt>
                <c:pt idx="18">
                  <c:v>60</c:v>
                </c:pt>
                <c:pt idx="19">
                  <c:v>20</c:v>
                </c:pt>
                <c:pt idx="21">
                  <c:v>20</c:v>
                </c:pt>
                <c:pt idx="22">
                  <c:v>57</c:v>
                </c:pt>
                <c:pt idx="23">
                  <c:v>20</c:v>
                </c:pt>
                <c:pt idx="24">
                  <c:v>353</c:v>
                </c:pt>
                <c:pt idx="27">
                  <c:v>20</c:v>
                </c:pt>
                <c:pt idx="32">
                  <c:v>2</c:v>
                </c:pt>
                <c:pt idx="33">
                  <c:v>80</c:v>
                </c:pt>
                <c:pt idx="36">
                  <c:v>47</c:v>
                </c:pt>
                <c:pt idx="37">
                  <c:v>100</c:v>
                </c:pt>
                <c:pt idx="38">
                  <c:v>120</c:v>
                </c:pt>
                <c:pt idx="39">
                  <c:v>60</c:v>
                </c:pt>
              </c:numCache>
            </c:numRef>
          </c:val>
          <c:extLst>
            <c:ext xmlns:c16="http://schemas.microsoft.com/office/drawing/2014/chart" uri="{C3380CC4-5D6E-409C-BE32-E72D297353CC}">
              <c16:uniqueId val="{00000001-4B50-4D3F-9CBC-391ECD77E319}"/>
            </c:ext>
          </c:extLst>
        </c:ser>
        <c:ser>
          <c:idx val="2"/>
          <c:order val="2"/>
          <c:tx>
            <c:strRef>
              <c:f>'SUB-CATEGORY PIVOT'!$D$4:$D$5</c:f>
              <c:strCache>
                <c:ptCount val="1"/>
                <c:pt idx="0">
                  <c:v>canceled</c:v>
                </c:pt>
              </c:strCache>
            </c:strRef>
          </c:tx>
          <c:spPr>
            <a:solidFill>
              <a:schemeClr val="bg1">
                <a:lumMod val="65000"/>
              </a:schemeClr>
            </a:solidFill>
            <a:ln>
              <a:solidFill>
                <a:schemeClr val="bg1">
                  <a:lumMod val="65000"/>
                </a:schemeClr>
              </a:solidFill>
            </a:ln>
            <a:effectLst/>
          </c:spPr>
          <c:invertIfNegative val="0"/>
          <c:cat>
            <c:strRef>
              <c:f>'SUB-CATEGORY PIVOT'!$A$6:$A$47</c:f>
              <c:strCache>
                <c:ptCount val="41"/>
                <c:pt idx="0">
                  <c:v>animation</c:v>
                </c:pt>
                <c:pt idx="1">
                  <c:v>art books</c:v>
                </c:pt>
                <c:pt idx="2">
                  <c:v>audio</c:v>
                </c:pt>
                <c:pt idx="3">
                  <c:v>children's books</c:v>
                </c:pt>
                <c:pt idx="4">
                  <c:v>classical music</c:v>
                </c:pt>
                <c:pt idx="5">
                  <c:v>documentary</c:v>
                </c:pt>
                <c:pt idx="6">
                  <c:v>drama</c:v>
                </c:pt>
                <c:pt idx="7">
                  <c:v>electronic music</c:v>
                </c:pt>
                <c:pt idx="8">
                  <c:v>faith</c:v>
                </c:pt>
                <c:pt idx="9">
                  <c:v>fiction</c:v>
                </c:pt>
                <c:pt idx="10">
                  <c:v>food trucks</c:v>
                </c:pt>
                <c:pt idx="11">
                  <c:v>gadgets</c:v>
                </c:pt>
                <c:pt idx="12">
                  <c:v>hardware</c:v>
                </c:pt>
                <c:pt idx="13">
                  <c:v>indie rock</c:v>
                </c:pt>
                <c:pt idx="14">
                  <c:v>jazz</c:v>
                </c:pt>
                <c:pt idx="15">
                  <c:v>makerspaces</c:v>
                </c:pt>
                <c:pt idx="16">
                  <c:v>metal</c:v>
                </c:pt>
                <c:pt idx="17">
                  <c:v>mobile games</c:v>
                </c:pt>
                <c:pt idx="18">
                  <c:v>musical</c:v>
                </c:pt>
                <c:pt idx="19">
                  <c:v>nature</c:v>
                </c:pt>
                <c:pt idx="20">
                  <c:v>nonfiction</c:v>
                </c:pt>
                <c:pt idx="21">
                  <c:v>people</c:v>
                </c:pt>
                <c:pt idx="22">
                  <c:v>photobooks</c:v>
                </c:pt>
                <c:pt idx="23">
                  <c:v>places</c:v>
                </c:pt>
                <c:pt idx="24">
                  <c:v>plays</c:v>
                </c:pt>
                <c:pt idx="25">
                  <c:v>pop</c:v>
                </c:pt>
                <c:pt idx="26">
                  <c:v>radio &amp; podcasts</c:v>
                </c:pt>
                <c:pt idx="27">
                  <c:v>restaurants</c:v>
                </c:pt>
                <c:pt idx="28">
                  <c:v>rock</c:v>
                </c:pt>
                <c:pt idx="29">
                  <c:v>science fiction</c:v>
                </c:pt>
                <c:pt idx="30">
                  <c:v>shorts</c:v>
                </c:pt>
                <c:pt idx="31">
                  <c:v>small batch</c:v>
                </c:pt>
                <c:pt idx="32">
                  <c:v>space exploration</c:v>
                </c:pt>
                <c:pt idx="33">
                  <c:v>spaces</c:v>
                </c:pt>
                <c:pt idx="34">
                  <c:v>tabletop games</c:v>
                </c:pt>
                <c:pt idx="35">
                  <c:v>television</c:v>
                </c:pt>
                <c:pt idx="36">
                  <c:v>translations</c:v>
                </c:pt>
                <c:pt idx="37">
                  <c:v>video games</c:v>
                </c:pt>
                <c:pt idx="38">
                  <c:v>wearables</c:v>
                </c:pt>
                <c:pt idx="39">
                  <c:v>web</c:v>
                </c:pt>
                <c:pt idx="40">
                  <c:v>world music</c:v>
                </c:pt>
              </c:strCache>
            </c:strRef>
          </c:cat>
          <c:val>
            <c:numRef>
              <c:f>'SUB-CATEGORY PIVOT'!$D$6:$D$47</c:f>
              <c:numCache>
                <c:formatCode>General</c:formatCode>
                <c:ptCount val="41"/>
                <c:pt idx="1">
                  <c:v>20</c:v>
                </c:pt>
                <c:pt idx="2">
                  <c:v>24</c:v>
                </c:pt>
                <c:pt idx="10">
                  <c:v>20</c:v>
                </c:pt>
                <c:pt idx="18">
                  <c:v>20</c:v>
                </c:pt>
                <c:pt idx="29">
                  <c:v>40</c:v>
                </c:pt>
                <c:pt idx="32">
                  <c:v>18</c:v>
                </c:pt>
                <c:pt idx="33">
                  <c:v>17</c:v>
                </c:pt>
                <c:pt idx="36">
                  <c:v>10</c:v>
                </c:pt>
                <c:pt idx="38">
                  <c:v>60</c:v>
                </c:pt>
                <c:pt idx="39">
                  <c:v>100</c:v>
                </c:pt>
                <c:pt idx="40">
                  <c:v>20</c:v>
                </c:pt>
              </c:numCache>
            </c:numRef>
          </c:val>
          <c:extLst>
            <c:ext xmlns:c16="http://schemas.microsoft.com/office/drawing/2014/chart" uri="{C3380CC4-5D6E-409C-BE32-E72D297353CC}">
              <c16:uniqueId val="{00000002-4B50-4D3F-9CBC-391ECD77E319}"/>
            </c:ext>
          </c:extLst>
        </c:ser>
        <c:ser>
          <c:idx val="3"/>
          <c:order val="3"/>
          <c:tx>
            <c:strRef>
              <c:f>'SUB-CATEGORY PIVOT'!$E$4:$E$5</c:f>
              <c:strCache>
                <c:ptCount val="1"/>
                <c:pt idx="0">
                  <c:v>live</c:v>
                </c:pt>
              </c:strCache>
            </c:strRef>
          </c:tx>
          <c:spPr>
            <a:solidFill>
              <a:schemeClr val="accent5"/>
            </a:solidFill>
            <a:ln>
              <a:solidFill>
                <a:schemeClr val="accent5"/>
              </a:solidFill>
            </a:ln>
            <a:effectLst/>
          </c:spPr>
          <c:invertIfNegative val="0"/>
          <c:cat>
            <c:strRef>
              <c:f>'SUB-CATEGORY PIVOT'!$A$6:$A$47</c:f>
              <c:strCache>
                <c:ptCount val="41"/>
                <c:pt idx="0">
                  <c:v>animation</c:v>
                </c:pt>
                <c:pt idx="1">
                  <c:v>art books</c:v>
                </c:pt>
                <c:pt idx="2">
                  <c:v>audio</c:v>
                </c:pt>
                <c:pt idx="3">
                  <c:v>children's books</c:v>
                </c:pt>
                <c:pt idx="4">
                  <c:v>classical music</c:v>
                </c:pt>
                <c:pt idx="5">
                  <c:v>documentary</c:v>
                </c:pt>
                <c:pt idx="6">
                  <c:v>drama</c:v>
                </c:pt>
                <c:pt idx="7">
                  <c:v>electronic music</c:v>
                </c:pt>
                <c:pt idx="8">
                  <c:v>faith</c:v>
                </c:pt>
                <c:pt idx="9">
                  <c:v>fiction</c:v>
                </c:pt>
                <c:pt idx="10">
                  <c:v>food trucks</c:v>
                </c:pt>
                <c:pt idx="11">
                  <c:v>gadgets</c:v>
                </c:pt>
                <c:pt idx="12">
                  <c:v>hardware</c:v>
                </c:pt>
                <c:pt idx="13">
                  <c:v>indie rock</c:v>
                </c:pt>
                <c:pt idx="14">
                  <c:v>jazz</c:v>
                </c:pt>
                <c:pt idx="15">
                  <c:v>makerspaces</c:v>
                </c:pt>
                <c:pt idx="16">
                  <c:v>metal</c:v>
                </c:pt>
                <c:pt idx="17">
                  <c:v>mobile games</c:v>
                </c:pt>
                <c:pt idx="18">
                  <c:v>musical</c:v>
                </c:pt>
                <c:pt idx="19">
                  <c:v>nature</c:v>
                </c:pt>
                <c:pt idx="20">
                  <c:v>nonfiction</c:v>
                </c:pt>
                <c:pt idx="21">
                  <c:v>people</c:v>
                </c:pt>
                <c:pt idx="22">
                  <c:v>photobooks</c:v>
                </c:pt>
                <c:pt idx="23">
                  <c:v>places</c:v>
                </c:pt>
                <c:pt idx="24">
                  <c:v>plays</c:v>
                </c:pt>
                <c:pt idx="25">
                  <c:v>pop</c:v>
                </c:pt>
                <c:pt idx="26">
                  <c:v>radio &amp; podcasts</c:v>
                </c:pt>
                <c:pt idx="27">
                  <c:v>restaurants</c:v>
                </c:pt>
                <c:pt idx="28">
                  <c:v>rock</c:v>
                </c:pt>
                <c:pt idx="29">
                  <c:v>science fiction</c:v>
                </c:pt>
                <c:pt idx="30">
                  <c:v>shorts</c:v>
                </c:pt>
                <c:pt idx="31">
                  <c:v>small batch</c:v>
                </c:pt>
                <c:pt idx="32">
                  <c:v>space exploration</c:v>
                </c:pt>
                <c:pt idx="33">
                  <c:v>spaces</c:v>
                </c:pt>
                <c:pt idx="34">
                  <c:v>tabletop games</c:v>
                </c:pt>
                <c:pt idx="35">
                  <c:v>television</c:v>
                </c:pt>
                <c:pt idx="36">
                  <c:v>translations</c:v>
                </c:pt>
                <c:pt idx="37">
                  <c:v>video games</c:v>
                </c:pt>
                <c:pt idx="38">
                  <c:v>wearables</c:v>
                </c:pt>
                <c:pt idx="39">
                  <c:v>web</c:v>
                </c:pt>
                <c:pt idx="40">
                  <c:v>world music</c:v>
                </c:pt>
              </c:strCache>
            </c:strRef>
          </c:cat>
          <c:val>
            <c:numRef>
              <c:f>'SUB-CATEGORY PIVOT'!$E$6:$E$47</c:f>
              <c:numCache>
                <c:formatCode>General</c:formatCode>
                <c:ptCount val="41"/>
                <c:pt idx="8">
                  <c:v>20</c:v>
                </c:pt>
                <c:pt idx="24">
                  <c:v>19</c:v>
                </c:pt>
                <c:pt idx="31">
                  <c:v>6</c:v>
                </c:pt>
                <c:pt idx="33">
                  <c:v>5</c:v>
                </c:pt>
              </c:numCache>
            </c:numRef>
          </c:val>
          <c:extLst>
            <c:ext xmlns:c16="http://schemas.microsoft.com/office/drawing/2014/chart" uri="{C3380CC4-5D6E-409C-BE32-E72D297353CC}">
              <c16:uniqueId val="{00000003-4B50-4D3F-9CBC-391ECD77E319}"/>
            </c:ext>
          </c:extLst>
        </c:ser>
        <c:dLbls>
          <c:showLegendKey val="0"/>
          <c:showVal val="0"/>
          <c:showCatName val="0"/>
          <c:showSerName val="0"/>
          <c:showPercent val="0"/>
          <c:showBubbleSize val="0"/>
        </c:dLbls>
        <c:gapWidth val="150"/>
        <c:overlap val="100"/>
        <c:axId val="1866309088"/>
        <c:axId val="439980432"/>
      </c:barChart>
      <c:catAx>
        <c:axId val="1866309088"/>
        <c:scaling>
          <c:orientation val="minMax"/>
        </c:scaling>
        <c:delete val="0"/>
        <c:axPos val="b"/>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solidFill>
                      <a:sysClr val="windowText" lastClr="000000"/>
                    </a:solidFill>
                  </a:rPr>
                  <a:t>Sub-Category</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t"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439980432"/>
        <c:crosses val="autoZero"/>
        <c:auto val="1"/>
        <c:lblAlgn val="ctr"/>
        <c:lblOffset val="100"/>
        <c:noMultiLvlLbl val="0"/>
      </c:catAx>
      <c:valAx>
        <c:axId val="43998043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solidFill>
                      <a:sysClr val="windowText" lastClr="000000"/>
                    </a:solidFill>
                  </a:rPr>
                  <a:t>Count of State</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30908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[StarterBook - VUDA.xlsx]DATE PIVOT!PivotTable7</c:name>
    <c:fmtId val="-1"/>
  </c:pivotSource>
  <c:chart>
    <c:autoTitleDeleted val="0"/>
    <c:pivotFmts>
      <c:pivotFmt>
        <c:idx val="0"/>
        <c:spPr>
          <a:solidFill>
            <a:schemeClr val="accent1"/>
          </a:solidFill>
          <a:ln w="28575" cap="rnd">
            <a:solidFill>
              <a:srgbClr val="1BC34F"/>
            </a:solidFill>
            <a:round/>
          </a:ln>
          <a:effectLst/>
        </c:spPr>
        <c:marker>
          <c:symbol val="circle"/>
          <c:size val="5"/>
          <c:spPr>
            <a:solidFill>
              <a:srgbClr val="1BC34F"/>
            </a:solidFill>
            <a:ln w="9525">
              <a:solidFill>
                <a:srgbClr val="1BC34F"/>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bg2">
                <a:lumMod val="50000"/>
              </a:schemeClr>
            </a:solidFill>
            <a:round/>
          </a:ln>
          <a:effectLst/>
        </c:spPr>
        <c:marker>
          <c:symbol val="circle"/>
          <c:size val="5"/>
          <c:spPr>
            <a:solidFill>
              <a:schemeClr val="bg2">
                <a:lumMod val="50000"/>
              </a:schemeClr>
            </a:solidFill>
            <a:ln w="9525">
              <a:solidFill>
                <a:schemeClr val="bg2">
                  <a:lumMod val="5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noFill/>
            <a:round/>
          </a:ln>
          <a:effectLst/>
        </c:spPr>
        <c:marker>
          <c:symbol val="circle"/>
          <c:size val="5"/>
          <c:spPr>
            <a:no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rgbClr val="1BC34F"/>
            </a:solidFill>
            <a:round/>
          </a:ln>
          <a:effectLst/>
        </c:spPr>
        <c:marker>
          <c:symbol val="circle"/>
          <c:size val="5"/>
          <c:spPr>
            <a:solidFill>
              <a:srgbClr val="1BC34F"/>
            </a:solidFill>
            <a:ln w="9525">
              <a:solidFill>
                <a:srgbClr val="1BC34F"/>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bg2">
                <a:lumMod val="50000"/>
              </a:schemeClr>
            </a:solidFill>
            <a:round/>
          </a:ln>
          <a:effectLst/>
        </c:spPr>
        <c:marker>
          <c:symbol val="circle"/>
          <c:size val="5"/>
          <c:spPr>
            <a:solidFill>
              <a:schemeClr val="bg2">
                <a:lumMod val="50000"/>
              </a:schemeClr>
            </a:solidFill>
            <a:ln w="9525">
              <a:solidFill>
                <a:schemeClr val="bg2">
                  <a:lumMod val="5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noFill/>
            <a:round/>
          </a:ln>
          <a:effectLst/>
        </c:spPr>
        <c:marker>
          <c:symbol val="circle"/>
          <c:size val="5"/>
          <c:spPr>
            <a:no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rgbClr val="1BC34F"/>
            </a:solidFill>
            <a:round/>
          </a:ln>
          <a:effectLst/>
        </c:spPr>
        <c:marker>
          <c:symbol val="circle"/>
          <c:size val="5"/>
          <c:spPr>
            <a:solidFill>
              <a:srgbClr val="1BC34F"/>
            </a:solidFill>
            <a:ln w="9525">
              <a:solidFill>
                <a:srgbClr val="1BC34F"/>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bg2">
                <a:lumMod val="50000"/>
              </a:schemeClr>
            </a:solidFill>
            <a:round/>
          </a:ln>
          <a:effectLst/>
        </c:spPr>
        <c:marker>
          <c:symbol val="circle"/>
          <c:size val="5"/>
          <c:spPr>
            <a:solidFill>
              <a:schemeClr val="bg2">
                <a:lumMod val="50000"/>
              </a:schemeClr>
            </a:solidFill>
            <a:ln w="9525">
              <a:solidFill>
                <a:schemeClr val="bg2">
                  <a:lumMod val="50000"/>
                </a:schemeClr>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noFill/>
            <a:round/>
          </a:ln>
          <a:effectLst/>
        </c:spPr>
        <c:marker>
          <c:symbol val="circle"/>
          <c:size val="5"/>
          <c:spPr>
            <a:noFill/>
            <a:ln w="9525">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'DATE PIVOT'!$B$3:$B$4</c:f>
              <c:strCache>
                <c:ptCount val="1"/>
                <c:pt idx="0">
                  <c:v>successful</c:v>
                </c:pt>
              </c:strCache>
            </c:strRef>
          </c:tx>
          <c:spPr>
            <a:ln w="28575" cap="rnd">
              <a:solidFill>
                <a:srgbClr val="1BC34F"/>
              </a:solidFill>
              <a:round/>
            </a:ln>
            <a:effectLst/>
          </c:spPr>
          <c:marker>
            <c:symbol val="circle"/>
            <c:size val="5"/>
            <c:spPr>
              <a:solidFill>
                <a:srgbClr val="1BC34F"/>
              </a:solidFill>
              <a:ln w="9525">
                <a:solidFill>
                  <a:srgbClr val="1BC34F"/>
                </a:solidFill>
              </a:ln>
              <a:effectLst/>
            </c:spPr>
          </c:marker>
          <c:cat>
            <c:strRef>
              <c:f>'DATE PIVOT'!$A$5:$A$17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'DATE PIVOT'!$B$5:$B$17</c:f>
              <c:numCache>
                <c:formatCode>General</c:formatCode>
                <c:ptCount val="12"/>
                <c:pt idx="0">
                  <c:v>182</c:v>
                </c:pt>
                <c:pt idx="1">
                  <c:v>202</c:v>
                </c:pt>
                <c:pt idx="2">
                  <c:v>180</c:v>
                </c:pt>
                <c:pt idx="3">
                  <c:v>192</c:v>
                </c:pt>
                <c:pt idx="4">
                  <c:v>234</c:v>
                </c:pt>
                <c:pt idx="5">
                  <c:v>211</c:v>
                </c:pt>
                <c:pt idx="6">
                  <c:v>194</c:v>
                </c:pt>
                <c:pt idx="7">
                  <c:v>166</c:v>
                </c:pt>
                <c:pt idx="8">
                  <c:v>147</c:v>
                </c:pt>
                <c:pt idx="9">
                  <c:v>183</c:v>
                </c:pt>
                <c:pt idx="10">
                  <c:v>183</c:v>
                </c:pt>
                <c:pt idx="11">
                  <c:v>111</c:v>
                </c:pt>
              </c:numCache>
            </c:numRef>
          </c:val>
          <c:smooth val="0"/>
          <c:extLst>
            <c:ext xmlns:c16="http://schemas.microsoft.com/office/drawing/2014/chart" uri="{C3380CC4-5D6E-409C-BE32-E72D297353CC}">
              <c16:uniqueId val="{00000000-C687-4B2C-8A2D-104512E14206}"/>
            </c:ext>
          </c:extLst>
        </c:ser>
        <c:ser>
          <c:idx val="1"/>
          <c:order val="1"/>
          <c:tx>
            <c:strRef>
              <c:f>'DATE PIVOT'!$C$3:$C$4</c:f>
              <c:strCache>
                <c:ptCount val="1"/>
                <c:pt idx="0">
                  <c:v>failed</c:v>
                </c:pt>
              </c:strCache>
            </c:strRef>
          </c:tx>
          <c:spPr>
            <a:ln w="28575" cap="rnd">
              <a:solidFill>
                <a:schemeClr val="bg2">
                  <a:lumMod val="50000"/>
                </a:schemeClr>
              </a:solidFill>
              <a:round/>
            </a:ln>
            <a:effectLst/>
          </c:spPr>
          <c:marker>
            <c:symbol val="circle"/>
            <c:size val="5"/>
            <c:spPr>
              <a:solidFill>
                <a:schemeClr val="bg2">
                  <a:lumMod val="50000"/>
                </a:schemeClr>
              </a:solidFill>
              <a:ln w="9525">
                <a:solidFill>
                  <a:schemeClr val="bg2">
                    <a:lumMod val="50000"/>
                  </a:schemeClr>
                </a:solidFill>
              </a:ln>
              <a:effectLst/>
            </c:spPr>
          </c:marker>
          <c:cat>
            <c:strRef>
              <c:f>'DATE PIVOT'!$A$5:$A$17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'DATE PIVOT'!$C$5:$C$17</c:f>
              <c:numCache>
                <c:formatCode>General</c:formatCode>
                <c:ptCount val="12"/>
                <c:pt idx="0">
                  <c:v>149</c:v>
                </c:pt>
                <c:pt idx="1">
                  <c:v>106</c:v>
                </c:pt>
                <c:pt idx="2">
                  <c:v>108</c:v>
                </c:pt>
                <c:pt idx="3">
                  <c:v>102</c:v>
                </c:pt>
                <c:pt idx="4">
                  <c:v>126</c:v>
                </c:pt>
                <c:pt idx="5">
                  <c:v>147</c:v>
                </c:pt>
                <c:pt idx="6">
                  <c:v>150</c:v>
                </c:pt>
                <c:pt idx="7">
                  <c:v>134</c:v>
                </c:pt>
                <c:pt idx="8">
                  <c:v>127</c:v>
                </c:pt>
                <c:pt idx="9">
                  <c:v>149</c:v>
                </c:pt>
                <c:pt idx="10">
                  <c:v>114</c:v>
                </c:pt>
                <c:pt idx="11">
                  <c:v>118</c:v>
                </c:pt>
              </c:numCache>
            </c:numRef>
          </c:val>
          <c:smooth val="0"/>
          <c:extLst>
            <c:ext xmlns:c16="http://schemas.microsoft.com/office/drawing/2014/chart" uri="{C3380CC4-5D6E-409C-BE32-E72D297353CC}">
              <c16:uniqueId val="{00000001-C687-4B2C-8A2D-104512E14206}"/>
            </c:ext>
          </c:extLst>
        </c:ser>
        <c:ser>
          <c:idx val="2"/>
          <c:order val="2"/>
          <c:tx>
            <c:strRef>
              <c:f>'DATE PIVOT'!$D$3:$D$4</c:f>
              <c:strCache>
                <c:ptCount val="1"/>
                <c:pt idx="0">
                  <c:v>canceled</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'DATE PIVOT'!$A$5:$A$17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'DATE PIVOT'!$D$5:$D$17</c:f>
              <c:numCache>
                <c:formatCode>General</c:formatCode>
                <c:ptCount val="12"/>
                <c:pt idx="0">
                  <c:v>34</c:v>
                </c:pt>
                <c:pt idx="1">
                  <c:v>27</c:v>
                </c:pt>
                <c:pt idx="2">
                  <c:v>28</c:v>
                </c:pt>
                <c:pt idx="3">
                  <c:v>27</c:v>
                </c:pt>
                <c:pt idx="4">
                  <c:v>26</c:v>
                </c:pt>
                <c:pt idx="5">
                  <c:v>27</c:v>
                </c:pt>
                <c:pt idx="6">
                  <c:v>43</c:v>
                </c:pt>
                <c:pt idx="7">
                  <c:v>33</c:v>
                </c:pt>
                <c:pt idx="8">
                  <c:v>24</c:v>
                </c:pt>
                <c:pt idx="9">
                  <c:v>20</c:v>
                </c:pt>
                <c:pt idx="10">
                  <c:v>37</c:v>
                </c:pt>
                <c:pt idx="11">
                  <c:v>23</c:v>
                </c:pt>
              </c:numCache>
            </c:numRef>
          </c:val>
          <c:smooth val="0"/>
          <c:extLst>
            <c:ext xmlns:c16="http://schemas.microsoft.com/office/drawing/2014/chart" uri="{C3380CC4-5D6E-409C-BE32-E72D297353CC}">
              <c16:uniqueId val="{00000002-C687-4B2C-8A2D-104512E14206}"/>
            </c:ext>
          </c:extLst>
        </c:ser>
        <c:ser>
          <c:idx val="3"/>
          <c:order val="3"/>
          <c:tx>
            <c:strRef>
              <c:f>'DATE PIVOT'!$E$3:$E$4</c:f>
              <c:strCache>
                <c:ptCount val="1"/>
                <c:pt idx="0">
                  <c:v>live</c:v>
                </c:pt>
              </c:strCache>
            </c:strRef>
          </c:tx>
          <c:spPr>
            <a:ln w="28575" cap="rnd">
              <a:noFill/>
              <a:round/>
            </a:ln>
            <a:effectLst/>
          </c:spPr>
          <c:marker>
            <c:symbol val="circle"/>
            <c:size val="5"/>
            <c:spPr>
              <a:noFill/>
              <a:ln w="9525">
                <a:noFill/>
              </a:ln>
              <a:effectLst/>
            </c:spPr>
          </c:marker>
          <c:cat>
            <c:strRef>
              <c:f>'DATE PIVOT'!$A$5:$A$17</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'DATE PIVOT'!$E$5:$E$17</c:f>
              <c:numCache>
                <c:formatCode>General</c:formatCode>
                <c:ptCount val="12"/>
                <c:pt idx="0">
                  <c:v>2</c:v>
                </c:pt>
                <c:pt idx="1">
                  <c:v>18</c:v>
                </c:pt>
                <c:pt idx="2">
                  <c:v>30</c:v>
                </c:pt>
              </c:numCache>
            </c:numRef>
          </c:val>
          <c:smooth val="0"/>
          <c:extLst>
            <c:ext xmlns:c16="http://schemas.microsoft.com/office/drawing/2014/chart" uri="{C3380CC4-5D6E-409C-BE32-E72D297353CC}">
              <c16:uniqueId val="{00000003-C687-4B2C-8A2D-104512E14206}"/>
            </c:ext>
          </c:extLst>
        </c:ser>
        <c:dLbls>
          <c:showLegendKey val="0"/>
          <c:showVal val="0"/>
          <c:showCatName val="0"/>
          <c:showSerName val="0"/>
          <c:showPercent val="0"/>
          <c:showBubbleSize val="0"/>
        </c:dLbls>
        <c:marker val="1"/>
        <c:smooth val="0"/>
        <c:axId val="498718112"/>
        <c:axId val="439934672"/>
      </c:lineChart>
      <c:catAx>
        <c:axId val="498718112"/>
        <c:scaling>
          <c:orientation val="minMax"/>
        </c:scaling>
        <c:delete val="0"/>
        <c:axPos val="b"/>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solidFill>
                      <a:sysClr val="windowText" lastClr="000000"/>
                    </a:solidFill>
                  </a:rPr>
                  <a:t>Date Created Conversion</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9934672"/>
        <c:crosses val="autoZero"/>
        <c:auto val="1"/>
        <c:lblAlgn val="ctr"/>
        <c:lblOffset val="100"/>
        <c:noMultiLvlLbl val="0"/>
      </c:catAx>
      <c:valAx>
        <c:axId val="43993467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solidFill>
                      <a:sysClr val="windowText" lastClr="000000"/>
                    </a:solidFill>
                  </a:rPr>
                  <a:t>Count of State</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8718112"/>
        <c:crosses val="autoZero"/>
        <c:crossBetween val="between"/>
      </c:valAx>
      <c:spPr>
        <a:noFill/>
        <a:ln>
          <a:noFill/>
        </a:ln>
        <a:effectLst/>
      </c:spPr>
    </c:plotArea>
    <c:legend>
      <c:legendPos val="r"/>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BONUS!$F$1</c:f>
              <c:strCache>
                <c:ptCount val="1"/>
                <c:pt idx="0">
                  <c:v>Percentage Successful</c:v>
                </c:pt>
              </c:strCache>
            </c:strRef>
          </c:tx>
          <c:spPr>
            <a:ln w="28575" cap="rnd">
              <a:solidFill>
                <a:srgbClr val="1BC34F"/>
              </a:solidFill>
              <a:round/>
            </a:ln>
            <a:effectLst/>
          </c:spPr>
          <c:marker>
            <c:symbol val="none"/>
          </c:marker>
          <c:cat>
            <c:strRef>
              <c:f>BONUS!$A$2:$A$13</c:f>
              <c:strCache>
                <c:ptCount val="12"/>
                <c:pt idx="0">
                  <c:v>Less than a 1000</c:v>
                </c:pt>
                <c:pt idx="1">
                  <c:v>1000 to 4999</c:v>
                </c:pt>
                <c:pt idx="2">
                  <c:v>5000 to 9999</c:v>
                </c:pt>
                <c:pt idx="3">
                  <c:v>10000 to 14999</c:v>
                </c:pt>
                <c:pt idx="4">
                  <c:v>15000 to 19999</c:v>
                </c:pt>
                <c:pt idx="5">
                  <c:v>20000 to 24999</c:v>
                </c:pt>
                <c:pt idx="6">
                  <c:v>25000 to 29999</c:v>
                </c:pt>
                <c:pt idx="7">
                  <c:v>30000 to 34999</c:v>
                </c:pt>
                <c:pt idx="8">
                  <c:v>35000 to 39999</c:v>
                </c:pt>
                <c:pt idx="9">
                  <c:v>40000 to 44999</c:v>
                </c:pt>
                <c:pt idx="10">
                  <c:v>45000 to 49999</c:v>
                </c:pt>
                <c:pt idx="11">
                  <c:v>Greater than or equal to 50000</c:v>
                </c:pt>
              </c:strCache>
            </c:strRef>
          </c:cat>
          <c:val>
            <c:numRef>
              <c:f>BONUS!$F$2:$F$13</c:f>
              <c:numCache>
                <c:formatCode>0%</c:formatCode>
                <c:ptCount val="12"/>
                <c:pt idx="0">
                  <c:v>0.71081677704194257</c:v>
                </c:pt>
                <c:pt idx="1">
                  <c:v>0.66005665722379603</c:v>
                </c:pt>
                <c:pt idx="2">
                  <c:v>0.53212290502793291</c:v>
                </c:pt>
                <c:pt idx="3">
                  <c:v>0.47727272727272729</c:v>
                </c:pt>
                <c:pt idx="4">
                  <c:v>0.46766169154228854</c:v>
                </c:pt>
                <c:pt idx="5">
                  <c:v>0.41891891891891891</c:v>
                </c:pt>
                <c:pt idx="6">
                  <c:v>0.40145985401459855</c:v>
                </c:pt>
                <c:pt idx="7">
                  <c:v>0.3902439024390244</c:v>
                </c:pt>
                <c:pt idx="8">
                  <c:v>0.47272727272727272</c:v>
                </c:pt>
                <c:pt idx="9">
                  <c:v>0.48837209302325579</c:v>
                </c:pt>
                <c:pt idx="10">
                  <c:v>0.2857142857142857</c:v>
                </c:pt>
                <c:pt idx="11">
                  <c:v>0.19369369369369369</c:v>
                </c:pt>
              </c:numCache>
            </c:numRef>
          </c:val>
          <c:smooth val="0"/>
          <c:extLst>
            <c:ext xmlns:c16="http://schemas.microsoft.com/office/drawing/2014/chart" uri="{C3380CC4-5D6E-409C-BE32-E72D297353CC}">
              <c16:uniqueId val="{00000000-0564-4F0B-B8B1-2E3DE4F380CA}"/>
            </c:ext>
          </c:extLst>
        </c:ser>
        <c:ser>
          <c:idx val="1"/>
          <c:order val="1"/>
          <c:tx>
            <c:strRef>
              <c:f>BONUS!$G$1</c:f>
              <c:strCache>
                <c:ptCount val="1"/>
                <c:pt idx="0">
                  <c:v>Percentage Failed</c:v>
                </c:pt>
              </c:strCache>
            </c:strRef>
          </c:tx>
          <c:spPr>
            <a:ln w="28575" cap="rnd">
              <a:solidFill>
                <a:schemeClr val="bg2">
                  <a:lumMod val="50000"/>
                </a:schemeClr>
              </a:solidFill>
              <a:round/>
            </a:ln>
            <a:effectLst/>
          </c:spPr>
          <c:marker>
            <c:symbol val="none"/>
          </c:marker>
          <c:cat>
            <c:strRef>
              <c:f>BONUS!$A$2:$A$13</c:f>
              <c:strCache>
                <c:ptCount val="12"/>
                <c:pt idx="0">
                  <c:v>Less than a 1000</c:v>
                </c:pt>
                <c:pt idx="1">
                  <c:v>1000 to 4999</c:v>
                </c:pt>
                <c:pt idx="2">
                  <c:v>5000 to 9999</c:v>
                </c:pt>
                <c:pt idx="3">
                  <c:v>10000 to 14999</c:v>
                </c:pt>
                <c:pt idx="4">
                  <c:v>15000 to 19999</c:v>
                </c:pt>
                <c:pt idx="5">
                  <c:v>20000 to 24999</c:v>
                </c:pt>
                <c:pt idx="6">
                  <c:v>25000 to 29999</c:v>
                </c:pt>
                <c:pt idx="7">
                  <c:v>30000 to 34999</c:v>
                </c:pt>
                <c:pt idx="8">
                  <c:v>35000 to 39999</c:v>
                </c:pt>
                <c:pt idx="9">
                  <c:v>40000 to 44999</c:v>
                </c:pt>
                <c:pt idx="10">
                  <c:v>45000 to 49999</c:v>
                </c:pt>
                <c:pt idx="11">
                  <c:v>Greater than or equal to 50000</c:v>
                </c:pt>
              </c:strCache>
            </c:strRef>
          </c:cat>
          <c:val>
            <c:numRef>
              <c:f>BONUS!$G$2:$G$13</c:f>
              <c:numCache>
                <c:formatCode>0%</c:formatCode>
                <c:ptCount val="12"/>
                <c:pt idx="0">
                  <c:v>0.24944812362030905</c:v>
                </c:pt>
                <c:pt idx="1">
                  <c:v>0.29745042492917845</c:v>
                </c:pt>
                <c:pt idx="2">
                  <c:v>0.39525139664804471</c:v>
                </c:pt>
                <c:pt idx="3">
                  <c:v>0.40909090909090912</c:v>
                </c:pt>
                <c:pt idx="4">
                  <c:v>0.44776119402985076</c:v>
                </c:pt>
                <c:pt idx="5">
                  <c:v>0.48648648648648651</c:v>
                </c:pt>
                <c:pt idx="6">
                  <c:v>0.46715328467153283</c:v>
                </c:pt>
                <c:pt idx="7">
                  <c:v>0.45121951219512196</c:v>
                </c:pt>
                <c:pt idx="8">
                  <c:v>0.4</c:v>
                </c:pt>
                <c:pt idx="9">
                  <c:v>0.37209302325581395</c:v>
                </c:pt>
                <c:pt idx="10">
                  <c:v>0.52380952380952384</c:v>
                </c:pt>
                <c:pt idx="11">
                  <c:v>0.58108108108108103</c:v>
                </c:pt>
              </c:numCache>
            </c:numRef>
          </c:val>
          <c:smooth val="0"/>
          <c:extLst>
            <c:ext xmlns:c16="http://schemas.microsoft.com/office/drawing/2014/chart" uri="{C3380CC4-5D6E-409C-BE32-E72D297353CC}">
              <c16:uniqueId val="{00000001-0564-4F0B-B8B1-2E3DE4F380CA}"/>
            </c:ext>
          </c:extLst>
        </c:ser>
        <c:ser>
          <c:idx val="2"/>
          <c:order val="2"/>
          <c:tx>
            <c:strRef>
              <c:f>BONUS!$H$1</c:f>
              <c:strCache>
                <c:ptCount val="1"/>
                <c:pt idx="0">
                  <c:v>Percentage Canceled</c:v>
                </c:pt>
              </c:strCache>
            </c:strRef>
          </c:tx>
          <c:spPr>
            <a:ln w="28575" cap="rnd">
              <a:solidFill>
                <a:schemeClr val="bg1">
                  <a:lumMod val="65000"/>
                </a:schemeClr>
              </a:solidFill>
              <a:round/>
            </a:ln>
            <a:effectLst/>
          </c:spPr>
          <c:marker>
            <c:symbol val="none"/>
          </c:marker>
          <c:cat>
            <c:strRef>
              <c:f>BONUS!$A$2:$A$13</c:f>
              <c:strCache>
                <c:ptCount val="12"/>
                <c:pt idx="0">
                  <c:v>Less than a 1000</c:v>
                </c:pt>
                <c:pt idx="1">
                  <c:v>1000 to 4999</c:v>
                </c:pt>
                <c:pt idx="2">
                  <c:v>5000 to 9999</c:v>
                </c:pt>
                <c:pt idx="3">
                  <c:v>10000 to 14999</c:v>
                </c:pt>
                <c:pt idx="4">
                  <c:v>15000 to 19999</c:v>
                </c:pt>
                <c:pt idx="5">
                  <c:v>20000 to 24999</c:v>
                </c:pt>
                <c:pt idx="6">
                  <c:v>25000 to 29999</c:v>
                </c:pt>
                <c:pt idx="7">
                  <c:v>30000 to 34999</c:v>
                </c:pt>
                <c:pt idx="8">
                  <c:v>35000 to 39999</c:v>
                </c:pt>
                <c:pt idx="9">
                  <c:v>40000 to 44999</c:v>
                </c:pt>
                <c:pt idx="10">
                  <c:v>45000 to 49999</c:v>
                </c:pt>
                <c:pt idx="11">
                  <c:v>Greater than or equal to 50000</c:v>
                </c:pt>
              </c:strCache>
            </c:strRef>
          </c:cat>
          <c:val>
            <c:numRef>
              <c:f>BONUS!$H$2:$H$13</c:f>
              <c:numCache>
                <c:formatCode>0%</c:formatCode>
                <c:ptCount val="12"/>
                <c:pt idx="0">
                  <c:v>3.9735099337748346E-2</c:v>
                </c:pt>
                <c:pt idx="1">
                  <c:v>4.2492917847025496E-2</c:v>
                </c:pt>
                <c:pt idx="2">
                  <c:v>7.2625698324022353E-2</c:v>
                </c:pt>
                <c:pt idx="3">
                  <c:v>0.11363636363636363</c:v>
                </c:pt>
                <c:pt idx="4">
                  <c:v>8.45771144278607E-2</c:v>
                </c:pt>
                <c:pt idx="5">
                  <c:v>9.45945945945946E-2</c:v>
                </c:pt>
                <c:pt idx="6">
                  <c:v>0.13138686131386862</c:v>
                </c:pt>
                <c:pt idx="7">
                  <c:v>0.15853658536585366</c:v>
                </c:pt>
                <c:pt idx="8">
                  <c:v>0.12727272727272726</c:v>
                </c:pt>
                <c:pt idx="9">
                  <c:v>0.13953488372093023</c:v>
                </c:pt>
                <c:pt idx="10">
                  <c:v>0.19047619047619047</c:v>
                </c:pt>
                <c:pt idx="11">
                  <c:v>0.22522522522522523</c:v>
                </c:pt>
              </c:numCache>
            </c:numRef>
          </c:val>
          <c:smooth val="0"/>
          <c:extLst>
            <c:ext xmlns:c16="http://schemas.microsoft.com/office/drawing/2014/chart" uri="{C3380CC4-5D6E-409C-BE32-E72D297353CC}">
              <c16:uniqueId val="{00000002-0564-4F0B-B8B1-2E3DE4F380CA}"/>
            </c:ext>
          </c:extLst>
        </c:ser>
        <c:dLbls>
          <c:showLegendKey val="0"/>
          <c:showVal val="0"/>
          <c:showCatName val="0"/>
          <c:showSerName val="0"/>
          <c:showPercent val="0"/>
          <c:showBubbleSize val="0"/>
        </c:dLbls>
        <c:smooth val="0"/>
        <c:axId val="2012864096"/>
        <c:axId val="439967952"/>
      </c:lineChart>
      <c:catAx>
        <c:axId val="201286409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solidFill>
                      <a:sysClr val="windowText" lastClr="000000"/>
                    </a:solidFill>
                  </a:rPr>
                  <a:t>Goal Amount</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439967952"/>
        <c:crosses val="autoZero"/>
        <c:auto val="1"/>
        <c:lblAlgn val="ctr"/>
        <c:lblOffset val="100"/>
        <c:noMultiLvlLbl val="0"/>
      </c:catAx>
      <c:valAx>
        <c:axId val="4399679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solidFill>
                      <a:sysClr val="windowText" lastClr="000000"/>
                    </a:solidFill>
                  </a:rPr>
                  <a:t>Successful,</a:t>
                </a:r>
                <a:r>
                  <a:rPr lang="en-US" b="1" baseline="0">
                    <a:solidFill>
                      <a:sysClr val="windowText" lastClr="000000"/>
                    </a:solidFill>
                  </a:rPr>
                  <a:t> Failed, Canceled</a:t>
                </a:r>
                <a:endParaRPr lang="en-US" b="1">
                  <a:solidFill>
                    <a:sysClr val="windowText" lastClr="000000"/>
                  </a:solidFill>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2864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CF406-1768-4A44-BCCE-F07CADEC8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11</Pages>
  <Words>1425</Words>
  <Characters>8126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Kickstarter Project Report</dc:title>
  <dc:subject>Sylvain David</dc:subject>
  <dc:creator>Sylvain David</dc:creator>
  <cp:keywords/>
  <dc:description/>
  <cp:lastModifiedBy>Sylvain David</cp:lastModifiedBy>
  <cp:revision>49</cp:revision>
  <dcterms:created xsi:type="dcterms:W3CDTF">2020-06-12T03:53:00Z</dcterms:created>
  <dcterms:modified xsi:type="dcterms:W3CDTF">2020-06-13T04:48:00Z</dcterms:modified>
</cp:coreProperties>
</file>