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80"/>
      </w:pPr>
      <w:r>
        <w:rPr>
          <w:rFonts w:ascii="Calibri" w:cs="Calibri" w:eastAsia="Calibri" w:hAnsi="Calibri"/>
          <w:b/>
          <w:bCs/>
          <w:caps/>
          <w:color w:val="B8945A"/>
          <w:spacing w:val="200"/>
          <w:sz w:val="22"/>
          <w:szCs w:val="22"/>
        </w:rPr>
        <w:t xml:space="preserve">POLICYPILOT</w:t>
      </w:r>
    </w:p>
    <w:p>
      <w:pPr>
        <w:pBdr>
          <w:bottom w:val="single" w:color="0B1F3A" w:sz="8" w:space="16"/>
        </w:pBdr>
        <w:spacing w:after="40"/>
      </w:pPr>
      <w:r>
        <w:rPr>
          <w:rFonts w:ascii="Cambria" w:cs="Cambria" w:eastAsia="Cambria" w:hAnsi="Cambria"/>
          <w:b/>
          <w:bCs/>
          <w:color w:val="0B1F3A"/>
          <w:sz w:val="72"/>
          <w:szCs w:val="72"/>
        </w:rPr>
        <w:t xml:space="preserve">Dashboard Design System</w:t>
      </w:r>
    </w:p>
    <w:p>
      <w:pPr>
        <w:spacing w:after="120"/>
      </w:pPr>
      <w:r>
        <w:t xml:space="preserve"/>
      </w:r>
    </w:p>
    <w:p>
      <w:pPr>
        <w:spacing w:after="80"/>
      </w:pPr>
      <w:r>
        <w:rPr>
          <w:rFonts w:ascii="Cambria" w:cs="Cambria" w:eastAsia="Cambria" w:hAnsi="Cambria"/>
          <w:i/>
          <w:iCs/>
          <w:color w:val="3F4750"/>
          <w:sz w:val="28"/>
          <w:szCs w:val="28"/>
        </w:rPr>
        <w:t xml:space="preserve">A trustworthy, institutional visual language for life-insurance quoting, comparison, and coverage analysis.</w:t>
      </w:r>
    </w:p>
    <w:p>
      <w:pPr>
        <w:spacing w:after="800"/>
      </w:pPr>
      <w:r>
        <w:t xml:space="preserve"/>
      </w:r>
    </w:p>
    <w:p>
      <w:pPr>
        <w:tabs>
          <w:tab w:val="right" w:pos="9026"/>
        </w:tabs>
      </w:pPr>
      <w:r>
        <w:rPr>
          <w:rFonts w:ascii="Calibri" w:cs="Calibri" w:eastAsia="Calibri" w:hAnsi="Calibri"/>
          <w:caps/>
          <w:color w:val="3F4750"/>
          <w:spacing w:val="60"/>
          <w:sz w:val="18"/>
          <w:szCs w:val="18"/>
        </w:rPr>
        <w:t xml:space="preserve">Prepared for</w:t>
      </w:r>
      <w:r>
        <w:rPr>
          <w:rFonts w:ascii="Calibri" w:cs="Calibri" w:eastAsia="Calibri" w:hAnsi="Calibri"/>
          <w:caps/>
          <w:color w:val="3F4750"/>
          <w:spacing w:val="60"/>
          <w:sz w:val="18"/>
          <w:szCs w:val="18"/>
        </w:rPr>
        <w:t xml:space="preserve">	Date</w:t>
      </w:r>
    </w:p>
    <w:p>
      <w:pPr>
        <w:pBdr>
          <w:bottom w:val="single" w:color="D8D4CB" w:sz="4" w:space="4"/>
        </w:pBdr>
        <w:tabs>
          <w:tab w:val="right" w:pos="9026"/>
        </w:tabs>
        <w:spacing w:after="40"/>
      </w:pPr>
      <w:r>
        <w:rPr>
          <w:rFonts w:ascii="Cambria" w:cs="Cambria" w:eastAsia="Cambria" w:hAnsi="Cambria"/>
          <w:color w:val="1E293B"/>
          <w:sz w:val="22"/>
          <w:szCs w:val="22"/>
        </w:rPr>
        <w:t xml:space="preserve">Tanner — PolicyPilot Underwriting Hub</w:t>
      </w:r>
      <w:r>
        <w:rPr>
          <w:rFonts w:ascii="Cambria" w:cs="Cambria" w:eastAsia="Cambria" w:hAnsi="Cambria"/>
          <w:color w:val="1E293B"/>
          <w:sz w:val="22"/>
          <w:szCs w:val="22"/>
        </w:rPr>
        <w:t xml:space="preserve">	May 2026</w:t>
      </w:r>
    </w:p>
    <w:p>
      <w:r>
        <w:br w:type="page"/>
      </w:r>
    </w:p>
    <w:p>
      <w:pPr>
        <w:spacing w:after="60" w:before="60"/>
      </w:pPr>
      <w:r>
        <w:rPr>
          <w:rFonts w:ascii="Calibri" w:cs="Calibri" w:eastAsia="Calibri" w:hAnsi="Calibri"/>
          <w:b/>
          <w:bCs/>
          <w:caps/>
          <w:color w:val="B8945A"/>
          <w:spacing w:val="60"/>
          <w:sz w:val="16"/>
          <w:szCs w:val="16"/>
        </w:rPr>
        <w:t xml:space="preserve">01 — Foundations</w:t>
      </w:r>
    </w:p>
    <w:p>
      <w:pPr>
        <w:pStyle w:val="Heading1"/>
        <w:pBdr>
          <w:bottom w:val="single" w:color="0B1F3A" w:sz="8" w:space="4"/>
        </w:pBdr>
        <w:spacing w:after="200" w:before="360"/>
      </w:pPr>
      <w:r>
        <w:rPr>
          <w:rFonts w:ascii="Cambria" w:cs="Cambria" w:eastAsia="Cambria" w:hAnsi="Cambria"/>
          <w:b/>
          <w:bCs/>
          <w:color w:val="0B1F3A"/>
          <w:sz w:val="40"/>
          <w:szCs w:val="40"/>
        </w:rPr>
        <w:t xml:space="preserve">Design Philosophy</w:t>
      </w:r>
    </w:p>
    <w:p>
      <w:pPr>
        <w:spacing w:after="200" w:before="80" w:line="340"/>
      </w:pPr>
      <w:r>
        <w:rPr>
          <w:rFonts w:ascii="Cambria" w:cs="Cambria" w:eastAsia="Cambria" w:hAnsi="Cambria"/>
          <w:i/>
          <w:iCs/>
          <w:color w:val="3F4750"/>
          <w:sz w:val="26"/>
          <w:szCs w:val="26"/>
        </w:rPr>
        <w:t xml:space="preserve">Life insurance is a 30-year promise. The interface should feel like it was designed by a firm that has been around for 30 years — not by a sprint.</w:t>
      </w:r>
    </w:p>
    <w:p>
      <w:pPr>
        <w:pStyle w:val="Heading3"/>
        <w:spacing w:after="80" w:before="200"/>
      </w:pPr>
      <w:r>
        <w:rPr>
          <w:rFonts w:ascii="Calibri" w:cs="Calibri" w:eastAsia="Calibri" w:hAnsi="Calibri"/>
          <w:b/>
          <w:bCs/>
          <w:caps/>
          <w:color w:val="3F4750"/>
          <w:spacing w:val="30"/>
          <w:sz w:val="22"/>
          <w:szCs w:val="22"/>
        </w:rPr>
        <w:t xml:space="preserve">Three principles</w:t>
      </w:r>
    </w:p>
    <w:p>
      <w:pPr>
        <w:pStyle w:val="ListParagraph"/>
        <w:numPr>
          <w:ilvl w:val="0"/>
          <w:numId w:val="2"/>
        </w:numPr>
        <w:spacing w:after="100" w:line="300"/>
      </w:pPr>
      <w:r>
        <w:rPr>
          <w:rFonts w:ascii="Calibri" w:cs="Calibri" w:eastAsia="Calibri" w:hAnsi="Calibri"/>
          <w:b/>
          <w:bCs/>
          <w:color w:val="0B1F3A"/>
          <w:sz w:val="22"/>
          <w:szCs w:val="22"/>
        </w:rPr>
        <w:t xml:space="preserve">Earn trust through restraint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Density over flourish. White space is a tool, not a default. A premium is a promise — show the math, not a hero illustration.</w:t>
      </w:r>
    </w:p>
    <w:p>
      <w:pPr>
        <w:pStyle w:val="ListParagraph"/>
        <w:numPr>
          <w:ilvl w:val="0"/>
          <w:numId w:val="2"/>
        </w:numPr>
        <w:spacing w:after="100" w:line="300"/>
      </w:pPr>
      <w:r>
        <w:rPr>
          <w:rFonts w:ascii="Calibri" w:cs="Calibri" w:eastAsia="Calibri" w:hAnsi="Calibri"/>
          <w:b/>
          <w:bCs/>
          <w:color w:val="0B1F3A"/>
          <w:sz w:val="22"/>
          <w:szCs w:val="22"/>
        </w:rPr>
        <w:t xml:space="preserve">Treat numbers like first-class citizens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Tabular numerals, right-aligned columns, two-decimal precision, and consistent unit handling. A misaligned column on a quote screen reads as carelessness about the customer's money.</w:t>
      </w:r>
    </w:p>
    <w:p>
      <w:pPr>
        <w:pStyle w:val="ListParagraph"/>
        <w:numPr>
          <w:ilvl w:val="0"/>
          <w:numId w:val="2"/>
        </w:numPr>
        <w:spacing w:after="100" w:line="300"/>
      </w:pPr>
      <w:r>
        <w:rPr>
          <w:rFonts w:ascii="Calibri" w:cs="Calibri" w:eastAsia="Calibri" w:hAnsi="Calibri"/>
          <w:b/>
          <w:bCs/>
          <w:color w:val="0B1F3A"/>
          <w:sz w:val="22"/>
          <w:szCs w:val="22"/>
        </w:rPr>
        <w:t xml:space="preserve">Use color as signal, never as decoration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90% of the interface is grayscale on warm paper. Color appears only when it carries meaning — a recommended plan, an underwriting flag, a covered amount.</w:t>
      </w:r>
    </w:p>
    <w:p>
      <w:pPr>
        <w:pStyle w:val="Heading3"/>
        <w:spacing w:after="80" w:before="200"/>
      </w:pPr>
      <w:r>
        <w:rPr>
          <w:rFonts w:ascii="Calibri" w:cs="Calibri" w:eastAsia="Calibri" w:hAnsi="Calibri"/>
          <w:b/>
          <w:bCs/>
          <w:caps/>
          <w:color w:val="3F4750"/>
          <w:spacing w:val="30"/>
          <w:sz w:val="22"/>
          <w:szCs w:val="22"/>
        </w:rPr>
        <w:t xml:space="preserve">What we are deliberately avoiding</w:t>
      </w:r>
    </w:p>
    <w:p>
      <w:pPr>
        <w:spacing w:after="140" w:before="0" w:line="320"/>
      </w:pPr>
      <w:r>
        <w:rPr>
          <w:rFonts w:ascii="Calibri" w:cs="Calibri" w:eastAsia="Calibri" w:hAnsi="Calibri"/>
          <w:color w:val="1E293B"/>
          <w:sz w:val="22"/>
          <w:szCs w:val="22"/>
        </w:rPr>
        <w:t xml:space="preserve">The dashboard must not read as generic SaaS or AI-generated. The following list captures patterns that have become visual shorthand for "template" and should be excluded by default. If a designer or developer feels pulled toward one of these, treat it as a signal to step back and find an institutional alternative.</w:t>
      </w:r>
    </w:p>
    <w:p>
      <w:pPr>
        <w:pStyle w:val="ListParagraph"/>
        <w:numPr>
          <w:ilvl w:val="0"/>
          <w:numId w:val="2"/>
        </w:numPr>
        <w:spacing w:after="100" w:line="300"/>
      </w:pPr>
      <w:r>
        <w:rPr>
          <w:rFonts w:ascii="Calibri" w:cs="Calibri" w:eastAsia="Calibri" w:hAnsi="Calibri"/>
          <w:b/>
          <w:bCs/>
          <w:color w:val="0B1F3A"/>
          <w:sz w:val="22"/>
          <w:szCs w:val="22"/>
        </w:rPr>
        <w:t xml:space="preserve">Purple-to-blue gradients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and any other gradient used on hero sections, buttons, or backgrounds. Replace with solid Midnight Navy or Heritage Green.</w:t>
      </w:r>
    </w:p>
    <w:p>
      <w:pPr>
        <w:pStyle w:val="ListParagraph"/>
        <w:numPr>
          <w:ilvl w:val="0"/>
          <w:numId w:val="2"/>
        </w:numPr>
        <w:spacing w:after="100" w:line="300"/>
      </w:pPr>
      <w:r>
        <w:rPr>
          <w:rFonts w:ascii="Calibri" w:cs="Calibri" w:eastAsia="Calibri" w:hAnsi="Calibri"/>
          <w:b/>
          <w:bCs/>
          <w:color w:val="0B1F3A"/>
          <w:sz w:val="22"/>
          <w:szCs w:val="22"/>
        </w:rPr>
        <w:t xml:space="preserve">Pure-white #FFFFFF page backgrounds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paired with cards floating on diffuse drop shadows. Use Warm Ivory paper with hairline borders instead.</w:t>
      </w:r>
    </w:p>
    <w:p>
      <w:pPr>
        <w:pStyle w:val="ListParagraph"/>
        <w:numPr>
          <w:ilvl w:val="0"/>
          <w:numId w:val="2"/>
        </w:numPr>
        <w:spacing w:after="100" w:line="300"/>
      </w:pPr>
      <w:r>
        <w:rPr>
          <w:rFonts w:ascii="Calibri" w:cs="Calibri" w:eastAsia="Calibri" w:hAnsi="Calibri"/>
          <w:b/>
          <w:bCs/>
          <w:color w:val="0B1F3A"/>
          <w:sz w:val="22"/>
          <w:szCs w:val="22"/>
        </w:rPr>
        <w:t xml:space="preserve">Inter for everything</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and the default 16-24px corner radius on every surface. Use Cambria/Source Serif for headings, Inter Tight or IBM Plex Sans for UI, and reserve rounded corners (4px max) for inputs only.</w:t>
      </w:r>
    </w:p>
    <w:p>
      <w:pPr>
        <w:pStyle w:val="ListParagraph"/>
        <w:numPr>
          <w:ilvl w:val="0"/>
          <w:numId w:val="2"/>
        </w:numPr>
        <w:spacing w:after="100" w:line="300"/>
      </w:pPr>
      <w:r>
        <w:rPr>
          <w:rFonts w:ascii="Calibri" w:cs="Calibri" w:eastAsia="Calibri" w:hAnsi="Calibri"/>
          <w:b/>
          <w:bCs/>
          <w:color w:val="0B1F3A"/>
          <w:sz w:val="22"/>
          <w:szCs w:val="22"/>
        </w:rPr>
        <w:t xml:space="preserve">Sparkle, magic-wand, and "AI" iconography</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as well as emoji icons in the chrome. Use Phosphor or Lucide line icons at 1.5px stroke, monochrome.</w:t>
      </w:r>
    </w:p>
    <w:p>
      <w:pPr>
        <w:pStyle w:val="ListParagraph"/>
        <w:numPr>
          <w:ilvl w:val="0"/>
          <w:numId w:val="2"/>
        </w:numPr>
        <w:spacing w:after="100" w:line="300"/>
      </w:pPr>
      <w:r>
        <w:rPr>
          <w:rFonts w:ascii="Calibri" w:cs="Calibri" w:eastAsia="Calibri" w:hAnsi="Calibri"/>
          <w:b/>
          <w:bCs/>
          <w:color w:val="0B1F3A"/>
          <w:sz w:val="22"/>
          <w:szCs w:val="22"/>
        </w:rPr>
        <w:t xml:space="preserve">Centered hero sections with a single CTA</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in dashboard surfaces. Dashboards are not landing pages — open directly into data, with the primary action in the top-right of the working canvas.</w:t>
      </w:r>
    </w:p>
    <w:p>
      <w:pPr>
        <w:pStyle w:val="ListParagraph"/>
        <w:numPr>
          <w:ilvl w:val="0"/>
          <w:numId w:val="2"/>
        </w:numPr>
        <w:spacing w:after="100" w:line="300"/>
      </w:pPr>
      <w:r>
        <w:rPr>
          <w:rFonts w:ascii="Calibri" w:cs="Calibri" w:eastAsia="Calibri" w:hAnsi="Calibri"/>
          <w:b/>
          <w:bCs/>
          <w:color w:val="0B1F3A"/>
          <w:sz w:val="22"/>
          <w:szCs w:val="22"/>
        </w:rPr>
        <w:t xml:space="preserve">Glassmorphism and heavy soft shadows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Replace with 1px hairline borders in Stone-300, optionally a single 2-4px soft shadow on elevated overlays only.</w:t>
      </w:r>
    </w:p>
    <w:p>
      <w:r>
        <w:br w:type="page"/>
      </w:r>
    </w:p>
    <w:p>
      <w:pPr>
        <w:spacing w:after="60" w:before="60"/>
      </w:pPr>
      <w:r>
        <w:rPr>
          <w:rFonts w:ascii="Calibri" w:cs="Calibri" w:eastAsia="Calibri" w:hAnsi="Calibri"/>
          <w:b/>
          <w:bCs/>
          <w:caps/>
          <w:color w:val="B8945A"/>
          <w:spacing w:val="60"/>
          <w:sz w:val="16"/>
          <w:szCs w:val="16"/>
        </w:rPr>
        <w:t xml:space="preserve">02 — Color</w:t>
      </w:r>
    </w:p>
    <w:p>
      <w:pPr>
        <w:pStyle w:val="Heading1"/>
        <w:pBdr>
          <w:bottom w:val="single" w:color="0B1F3A" w:sz="8" w:space="4"/>
        </w:pBdr>
        <w:spacing w:after="200" w:before="360"/>
      </w:pPr>
      <w:r>
        <w:rPr>
          <w:rFonts w:ascii="Cambria" w:cs="Cambria" w:eastAsia="Cambria" w:hAnsi="Cambria"/>
          <w:b/>
          <w:bCs/>
          <w:color w:val="0B1F3A"/>
          <w:sz w:val="40"/>
          <w:szCs w:val="40"/>
        </w:rPr>
        <w:t xml:space="preserve">Color System</w:t>
      </w:r>
    </w:p>
    <w:p>
      <w:pPr>
        <w:spacing w:after="200" w:before="80" w:line="340"/>
      </w:pPr>
      <w:r>
        <w:rPr>
          <w:rFonts w:ascii="Cambria" w:cs="Cambria" w:eastAsia="Cambria" w:hAnsi="Cambria"/>
          <w:i/>
          <w:iCs/>
          <w:color w:val="3F4750"/>
          <w:sz w:val="26"/>
          <w:szCs w:val="26"/>
        </w:rPr>
        <w:t xml:space="preserve">A warm-paper palette anchored by a deep navy. The accent is heritage green — not the saturated Robinhood green that has become fintech wallpaper.</w:t>
      </w:r>
    </w:p>
    <w:p>
      <w:pPr>
        <w:pStyle w:val="Heading3"/>
        <w:spacing w:after="80" w:before="200"/>
      </w:pPr>
      <w:r>
        <w:rPr>
          <w:rFonts w:ascii="Calibri" w:cs="Calibri" w:eastAsia="Calibri" w:hAnsi="Calibri"/>
          <w:b/>
          <w:bCs/>
          <w:caps/>
          <w:color w:val="3F4750"/>
          <w:spacing w:val="30"/>
          <w:sz w:val="22"/>
          <w:szCs w:val="22"/>
        </w:rPr>
        <w:t xml:space="preserve">Core palette</w:t>
      </w:r>
    </w:p>
    <w:p>
      <w:pPr>
        <w:spacing w:after="140" w:before="0" w:line="320"/>
      </w:pPr>
      <w:r>
        <w:rPr>
          <w:rFonts w:ascii="Calibri" w:cs="Calibri" w:eastAsia="Calibri" w:hAnsi="Calibri"/>
          <w:color w:val="1E293B"/>
          <w:sz w:val="22"/>
          <w:szCs w:val="22"/>
        </w:rPr>
        <w:t xml:space="preserve">These six colors do roughly 95 percent of the work. Treat them as the canonical surface, ink, and accent set across the entire dashboard.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700"/>
        <w:gridCol w:w="4560"/>
      </w:tblGrid>
      <w:tr>
        <w:tc>
          <w:tcPr>
            <w:tcW w:type="dxa" w:w="1200"/>
            <w:tcBorders>
              <w:top w:val="none" w:color="FFFFFF" w:sz="0"/>
              <w:left w:val="none" w:color="FFFFFF" w:sz="0"/>
              <w:bottom w:val="none" w:color="FFFFFF" w:sz="0"/>
              <w:right w:val="none" w:color="FFFFFF" w:sz="0"/>
            </w:tcBorders>
            <w:shd w:fill="0B1F3A"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Midnight Navy</w:t>
            </w:r>
          </w:p>
          <w:p>
            <w:r>
              <w:rPr>
                <w:rFonts w:ascii="Consolas" w:cs="Consolas" w:eastAsia="Consolas" w:hAnsi="Consolas"/>
                <w:color w:val="3F4750"/>
                <w:sz w:val="18"/>
                <w:szCs w:val="18"/>
              </w:rPr>
              <w:t xml:space="preserve">#0B1F3A</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Primary</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Headers, primary buttons, key data emphasis, the rule line under H1. The single most-used non-neutral color.</w:t>
            </w:r>
          </w:p>
        </w:tc>
      </w:tr>
      <w:tr>
        <w:tc>
          <w:tcPr>
            <w:tcW w:type="dxa" w:w="1200"/>
            <w:tcBorders>
              <w:top w:val="none" w:color="FFFFFF" w:sz="0"/>
              <w:left w:val="none" w:color="FFFFFF" w:sz="0"/>
              <w:bottom w:val="none" w:color="FFFFFF" w:sz="0"/>
              <w:right w:val="none" w:color="FFFFFF" w:sz="0"/>
            </w:tcBorders>
            <w:shd w:fill="2C5F4F"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Heritage Green</w:t>
            </w:r>
          </w:p>
          <w:p>
            <w:r>
              <w:rPr>
                <w:rFonts w:ascii="Consolas" w:cs="Consolas" w:eastAsia="Consolas" w:hAnsi="Consolas"/>
                <w:color w:val="3F4750"/>
                <w:sz w:val="18"/>
                <w:szCs w:val="18"/>
              </w:rPr>
              <w:t xml:space="preserve">#2C5F4F</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Accent</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Recommended plans, positive deltas, "covered" states in coverage charts, success toasts. Never used for primary buttons.</w:t>
            </w:r>
          </w:p>
        </w:tc>
      </w:tr>
      <w:tr>
        <w:tc>
          <w:tcPr>
            <w:tcW w:type="dxa" w:w="1200"/>
            <w:tcBorders>
              <w:top w:val="none" w:color="FFFFFF" w:sz="0"/>
              <w:left w:val="none" w:color="FFFFFF" w:sz="0"/>
              <w:bottom w:val="none" w:color="FFFFFF" w:sz="0"/>
              <w:right w:val="none" w:color="FFFFFF" w:sz="0"/>
            </w:tcBorders>
            <w:shd w:fill="B8945A"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Burnished Gold</w:t>
            </w:r>
          </w:p>
          <w:p>
            <w:r>
              <w:rPr>
                <w:rFonts w:ascii="Consolas" w:cs="Consolas" w:eastAsia="Consolas" w:hAnsi="Consolas"/>
                <w:color w:val="3F4750"/>
                <w:sz w:val="18"/>
                <w:szCs w:val="18"/>
              </w:rPr>
              <w:t xml:space="preserve">#B8945A</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Premium</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Eyebrow labels, premium-tier badges, decorative rules on cover pages. Use very sparingly — under 1% of surface area.</w:t>
            </w:r>
          </w:p>
        </w:tc>
      </w:tr>
      <w:tr>
        <w:tc>
          <w:tcPr>
            <w:tcW w:type="dxa" w:w="1200"/>
            <w:tcBorders>
              <w:top w:val="none" w:color="FFFFFF" w:sz="0"/>
              <w:left w:val="none" w:color="FFFFFF" w:sz="0"/>
              <w:bottom w:val="none" w:color="FFFFFF" w:sz="0"/>
              <w:right w:val="none" w:color="FFFFFF" w:sz="0"/>
            </w:tcBorders>
            <w:shd w:fill="FAF7F0"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Warm Ivory</w:t>
            </w:r>
          </w:p>
          <w:p>
            <w:r>
              <w:rPr>
                <w:rFonts w:ascii="Consolas" w:cs="Consolas" w:eastAsia="Consolas" w:hAnsi="Consolas"/>
                <w:color w:val="3F4750"/>
                <w:sz w:val="18"/>
                <w:szCs w:val="18"/>
              </w:rPr>
              <w:t xml:space="preserve">#FAF7F0</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Page</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The default page background for every screen. Replaces #FFFFFF. Reduces eye strain on long sessions and reads as paper, not screen.</w:t>
            </w:r>
          </w:p>
        </w:tc>
      </w:tr>
      <w:tr>
        <w:tc>
          <w:tcPr>
            <w:tcW w:type="dxa" w:w="1200"/>
            <w:tcBorders>
              <w:top w:val="none" w:color="FFFFFF" w:sz="0"/>
              <w:left w:val="none" w:color="FFFFFF" w:sz="0"/>
              <w:bottom w:val="none" w:color="FFFFFF" w:sz="0"/>
              <w:right w:val="none" w:color="FFFFFF" w:sz="0"/>
            </w:tcBorders>
            <w:shd w:fill="F1EEE7"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Soft Stone 100</w:t>
            </w:r>
          </w:p>
          <w:p>
            <w:r>
              <w:rPr>
                <w:rFonts w:ascii="Consolas" w:cs="Consolas" w:eastAsia="Consolas" w:hAnsi="Consolas"/>
                <w:color w:val="3F4750"/>
                <w:sz w:val="18"/>
                <w:szCs w:val="18"/>
              </w:rPr>
              <w:t xml:space="preserve">#F1EEE7</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Surface</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Card and panel fills that need to recede slightly from the page. Use for sidebars, summary rails, and read-only data wells.</w:t>
            </w:r>
          </w:p>
        </w:tc>
      </w:tr>
      <w:tr>
        <w:tc>
          <w:tcPr>
            <w:tcW w:type="dxa" w:w="1200"/>
            <w:tcBorders>
              <w:top w:val="none" w:color="FFFFFF" w:sz="0"/>
              <w:left w:val="none" w:color="FFFFFF" w:sz="0"/>
              <w:bottom w:val="none" w:color="FFFFFF" w:sz="0"/>
              <w:right w:val="none" w:color="FFFFFF" w:sz="0"/>
            </w:tcBorders>
            <w:shd w:fill="1E293B"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Slate Ink</w:t>
            </w:r>
          </w:p>
          <w:p>
            <w:r>
              <w:rPr>
                <w:rFonts w:ascii="Consolas" w:cs="Consolas" w:eastAsia="Consolas" w:hAnsi="Consolas"/>
                <w:color w:val="3F4750"/>
                <w:sz w:val="18"/>
                <w:szCs w:val="18"/>
              </w:rPr>
              <w:t xml:space="preserve">#1E293B</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Body text</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Default text color. Pure black (#000) is forbidden — it is too harsh on warm paper and reads as default-template.</w:t>
            </w:r>
          </w:p>
        </w:tc>
      </w:tr>
    </w:tbl>
    <w:p>
      <w:pPr>
        <w:spacing w:after="160"/>
      </w:pPr>
      <w:r>
        <w:t xml:space="preserve"/>
      </w:r>
    </w:p>
    <w:p>
      <w:pPr>
        <w:pStyle w:val="Heading3"/>
        <w:spacing w:after="80" w:before="200"/>
      </w:pPr>
      <w:r>
        <w:rPr>
          <w:rFonts w:ascii="Calibri" w:cs="Calibri" w:eastAsia="Calibri" w:hAnsi="Calibri"/>
          <w:b/>
          <w:bCs/>
          <w:caps/>
          <w:color w:val="3F4750"/>
          <w:spacing w:val="30"/>
          <w:sz w:val="22"/>
          <w:szCs w:val="22"/>
        </w:rPr>
        <w:t xml:space="preserve">Neutrals &amp; rules</w:t>
      </w:r>
    </w:p>
    <w:p>
      <w:pPr>
        <w:spacing w:after="140" w:before="0" w:line="320"/>
      </w:pPr>
      <w:r>
        <w:rPr>
          <w:rFonts w:ascii="Calibri" w:cs="Calibri" w:eastAsia="Calibri" w:hAnsi="Calibri"/>
          <w:color w:val="1E293B"/>
          <w:sz w:val="22"/>
          <w:szCs w:val="22"/>
        </w:rPr>
        <w:t xml:space="preserve">Use these for borders, dividers, secondary text, and disabled states. They are intentionally desaturated and slightly warm.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700"/>
        <w:gridCol w:w="4560"/>
      </w:tblGrid>
      <w:tr>
        <w:tc>
          <w:tcPr>
            <w:tcW w:type="dxa" w:w="1200"/>
            <w:tcBorders>
              <w:top w:val="none" w:color="FFFFFF" w:sz="0"/>
              <w:left w:val="none" w:color="FFFFFF" w:sz="0"/>
              <w:bottom w:val="none" w:color="FFFFFF" w:sz="0"/>
              <w:right w:val="none" w:color="FFFFFF" w:sz="0"/>
            </w:tcBorders>
            <w:shd w:fill="3F4750"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Graphite</w:t>
            </w:r>
          </w:p>
          <w:p>
            <w:r>
              <w:rPr>
                <w:rFonts w:ascii="Consolas" w:cs="Consolas" w:eastAsia="Consolas" w:hAnsi="Consolas"/>
                <w:color w:val="3F4750"/>
                <w:sz w:val="18"/>
                <w:szCs w:val="18"/>
              </w:rPr>
              <w:t xml:space="preserve">#3F4750</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Secondary text</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Sub-labels, table column headers, inline metadata, eyebrow rules above section titles.</w:t>
            </w:r>
          </w:p>
        </w:tc>
      </w:tr>
      <w:tr>
        <w:tc>
          <w:tcPr>
            <w:tcW w:type="dxa" w:w="1200"/>
            <w:tcBorders>
              <w:top w:val="none" w:color="FFFFFF" w:sz="0"/>
              <w:left w:val="none" w:color="FFFFFF" w:sz="0"/>
              <w:bottom w:val="none" w:color="FFFFFF" w:sz="0"/>
              <w:right w:val="none" w:color="FFFFFF" w:sz="0"/>
            </w:tcBorders>
            <w:shd w:fill="D8D4CB"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Rule</w:t>
            </w:r>
          </w:p>
          <w:p>
            <w:r>
              <w:rPr>
                <w:rFonts w:ascii="Consolas" w:cs="Consolas" w:eastAsia="Consolas" w:hAnsi="Consolas"/>
                <w:color w:val="3F4750"/>
                <w:sz w:val="18"/>
                <w:szCs w:val="18"/>
              </w:rPr>
              <w:t xml:space="preserve">#D8D4CB</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Hairline</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All 1px borders and dividers between rows in tables, between fields in forms, and around cards.</w:t>
            </w:r>
          </w:p>
        </w:tc>
      </w:tr>
      <w:tr>
        <w:tc>
          <w:tcPr>
            <w:tcW w:type="dxa" w:w="1200"/>
            <w:tcBorders>
              <w:top w:val="none" w:color="FFFFFF" w:sz="0"/>
              <w:left w:val="none" w:color="FFFFFF" w:sz="0"/>
              <w:bottom w:val="none" w:color="FFFFFF" w:sz="0"/>
              <w:right w:val="none" w:color="FFFFFF" w:sz="0"/>
            </w:tcBorders>
            <w:shd w:fill="E5E2DA"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Stone 200</w:t>
            </w:r>
          </w:p>
          <w:p>
            <w:r>
              <w:rPr>
                <w:rFonts w:ascii="Consolas" w:cs="Consolas" w:eastAsia="Consolas" w:hAnsi="Consolas"/>
                <w:color w:val="3F4750"/>
                <w:sz w:val="18"/>
                <w:szCs w:val="18"/>
              </w:rPr>
              <w:t xml:space="preserve">#E5E2DA</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Inset</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Inactive form-field backgrounds, disabled chip fills, the alternating row tint in dense data tables.</w:t>
            </w:r>
          </w:p>
        </w:tc>
      </w:tr>
      <w:tr>
        <w:tc>
          <w:tcPr>
            <w:tcW w:type="dxa" w:w="1200"/>
            <w:tcBorders>
              <w:top w:val="none" w:color="FFFFFF" w:sz="0"/>
              <w:left w:val="none" w:color="FFFFFF" w:sz="0"/>
              <w:bottom w:val="none" w:color="FFFFFF" w:sz="0"/>
              <w:right w:val="none" w:color="FFFFFF" w:sz="0"/>
            </w:tcBorders>
            <w:shd w:fill="CCC8BF"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Stone 300</w:t>
            </w:r>
          </w:p>
          <w:p>
            <w:r>
              <w:rPr>
                <w:rFonts w:ascii="Consolas" w:cs="Consolas" w:eastAsia="Consolas" w:hAnsi="Consolas"/>
                <w:color w:val="3F4750"/>
                <w:sz w:val="18"/>
                <w:szCs w:val="18"/>
              </w:rPr>
              <w:t xml:space="preserve">#CCC8BF</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Border (strong)</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Card and panel borders that need slightly more contrast than Rule (e.g., the perimeter of the comparison cards).</w:t>
            </w:r>
          </w:p>
        </w:tc>
      </w:tr>
    </w:tbl>
    <w:p>
      <w:pPr>
        <w:spacing w:after="160"/>
      </w:pPr>
      <w:r>
        <w:t xml:space="preserve"/>
      </w:r>
    </w:p>
    <w:p>
      <w:pPr>
        <w:pStyle w:val="Heading3"/>
        <w:spacing w:after="80" w:before="200"/>
      </w:pPr>
      <w:r>
        <w:rPr>
          <w:rFonts w:ascii="Calibri" w:cs="Calibri" w:eastAsia="Calibri" w:hAnsi="Calibri"/>
          <w:b/>
          <w:bCs/>
          <w:caps/>
          <w:color w:val="3F4750"/>
          <w:spacing w:val="30"/>
          <w:sz w:val="22"/>
          <w:szCs w:val="22"/>
        </w:rPr>
        <w:t xml:space="preserve">Status &amp; semantic</w:t>
      </w:r>
    </w:p>
    <w:p>
      <w:pPr>
        <w:spacing w:after="140" w:before="0" w:line="320"/>
      </w:pPr>
      <w:r>
        <w:rPr>
          <w:rFonts w:ascii="Calibri" w:cs="Calibri" w:eastAsia="Calibri" w:hAnsi="Calibri"/>
          <w:color w:val="1E293B"/>
          <w:sz w:val="22"/>
          <w:szCs w:val="22"/>
        </w:rPr>
        <w:t xml:space="preserve">Status colors are never used for branding. They appear only when the interface needs to communicate a state or risk to the customer.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700"/>
        <w:gridCol w:w="4560"/>
      </w:tblGrid>
      <w:tr>
        <w:tc>
          <w:tcPr>
            <w:tcW w:type="dxa" w:w="1200"/>
            <w:tcBorders>
              <w:top w:val="none" w:color="FFFFFF" w:sz="0"/>
              <w:left w:val="none" w:color="FFFFFF" w:sz="0"/>
              <w:bottom w:val="none" w:color="FFFFFF" w:sz="0"/>
              <w:right w:val="none" w:color="FFFFFF" w:sz="0"/>
            </w:tcBorders>
            <w:shd w:fill="2C5F4F"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Heritage Green</w:t>
            </w:r>
          </w:p>
          <w:p>
            <w:r>
              <w:rPr>
                <w:rFonts w:ascii="Consolas" w:cs="Consolas" w:eastAsia="Consolas" w:hAnsi="Consolas"/>
                <w:color w:val="3F4750"/>
                <w:sz w:val="18"/>
                <w:szCs w:val="18"/>
              </w:rPr>
              <w:t xml:space="preserve">#2C5F4F</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Positive</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Approved, covered, recommended, premium-decrease deltas. Always paired with a small icon — never color alone.</w:t>
            </w:r>
          </w:p>
        </w:tc>
      </w:tr>
      <w:tr>
        <w:tc>
          <w:tcPr>
            <w:tcW w:type="dxa" w:w="1200"/>
            <w:tcBorders>
              <w:top w:val="none" w:color="FFFFFF" w:sz="0"/>
              <w:left w:val="none" w:color="FFFFFF" w:sz="0"/>
              <w:bottom w:val="none" w:color="FFFFFF" w:sz="0"/>
              <w:right w:val="none" w:color="FFFFFF" w:sz="0"/>
            </w:tcBorders>
            <w:shd w:fill="B8945A"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Burnished Gold</w:t>
            </w:r>
          </w:p>
          <w:p>
            <w:r>
              <w:rPr>
                <w:rFonts w:ascii="Consolas" w:cs="Consolas" w:eastAsia="Consolas" w:hAnsi="Consolas"/>
                <w:color w:val="3F4750"/>
                <w:sz w:val="18"/>
                <w:szCs w:val="18"/>
              </w:rPr>
              <w:t xml:space="preserve">#B8945A</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Caution</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Underwriting flags requiring follow-up, expiring quotes, partial-data warnings. Communicates attention without alarm.</w:t>
            </w:r>
          </w:p>
        </w:tc>
      </w:tr>
      <w:tr>
        <w:tc>
          <w:tcPr>
            <w:tcW w:type="dxa" w:w="1200"/>
            <w:tcBorders>
              <w:top w:val="none" w:color="FFFFFF" w:sz="0"/>
              <w:left w:val="none" w:color="FFFFFF" w:sz="0"/>
              <w:bottom w:val="none" w:color="FFFFFF" w:sz="0"/>
              <w:right w:val="none" w:color="FFFFFF" w:sz="0"/>
            </w:tcBorders>
            <w:shd w:fill="9A2A2A"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Signal Red</w:t>
            </w:r>
          </w:p>
          <w:p>
            <w:r>
              <w:rPr>
                <w:rFonts w:ascii="Consolas" w:cs="Consolas" w:eastAsia="Consolas" w:hAnsi="Consolas"/>
                <w:color w:val="3F4750"/>
                <w:sz w:val="18"/>
                <w:szCs w:val="18"/>
              </w:rPr>
              <w:t xml:space="preserve">#9A2A2A</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Critical</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Declined applications, lapsed coverage, premium-increase deltas above threshold. Never used on buttons or links.</w:t>
            </w:r>
          </w:p>
        </w:tc>
      </w:tr>
      <w:tr>
        <w:tc>
          <w:tcPr>
            <w:tcW w:type="dxa" w:w="1200"/>
            <w:tcBorders>
              <w:top w:val="none" w:color="FFFFFF" w:sz="0"/>
              <w:left w:val="none" w:color="FFFFFF" w:sz="0"/>
              <w:bottom w:val="none" w:color="FFFFFF" w:sz="0"/>
              <w:right w:val="none" w:color="FFFFFF" w:sz="0"/>
            </w:tcBorders>
            <w:shd w:fill="0B1F3A" w:val="clear"/>
            <w:tcMar>
              <w:top w:type="dxa" w:w="360"/>
              <w:left w:type="dxa" w:w="80"/>
              <w:bottom w:type="dxa" w:w="360"/>
              <w:right w:type="dxa" w:w="80"/>
            </w:tcMar>
          </w:tcPr>
          <w:p>
            <w:r>
              <w:t xml:space="preserve"/>
            </w:r>
          </w:p>
        </w:tc>
        <w:tc>
          <w:tcPr>
            <w:tcW w:type="dxa" w:w="1900"/>
            <w:tcBorders>
              <w:top w:val="none" w:color="FFFFFF" w:sz="0"/>
              <w:left w:val="none" w:color="FFFFFF" w:sz="0"/>
              <w:bottom w:val="single" w:color="D8D4CB" w:sz="4"/>
              <w:right w:val="none" w:color="FFFFFF" w:sz="0"/>
            </w:tcBorders>
            <w:tcMar>
              <w:top w:type="dxa" w:w="120"/>
              <w:left w:type="dxa" w:w="200"/>
              <w:bottom w:type="dxa" w:w="120"/>
              <w:right w:type="dxa" w:w="80"/>
            </w:tcMar>
          </w:tcPr>
          <w:p>
            <w:pPr>
              <w:spacing w:after="40"/>
            </w:pPr>
            <w:r>
              <w:rPr>
                <w:rFonts w:ascii="Cambria" w:cs="Cambria" w:eastAsia="Cambria" w:hAnsi="Cambria"/>
                <w:b/>
                <w:bCs/>
                <w:color w:val="0B1F3A"/>
                <w:sz w:val="22"/>
                <w:szCs w:val="22"/>
              </w:rPr>
              <w:t xml:space="preserve">Midnight Navy</w:t>
            </w:r>
          </w:p>
          <w:p>
            <w:r>
              <w:rPr>
                <w:rFonts w:ascii="Consolas" w:cs="Consolas" w:eastAsia="Consolas" w:hAnsi="Consolas"/>
                <w:color w:val="3F4750"/>
                <w:sz w:val="18"/>
                <w:szCs w:val="18"/>
              </w:rPr>
              <w:t xml:space="preserve">#0B1F3A</w:t>
            </w:r>
          </w:p>
        </w:tc>
        <w:tc>
          <w:tcPr>
            <w:tcW w:type="dxa" w:w="170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b/>
                <w:bCs/>
                <w:caps/>
                <w:color w:val="3F4750"/>
                <w:spacing w:val="30"/>
                <w:sz w:val="18"/>
                <w:szCs w:val="18"/>
              </w:rPr>
              <w:t xml:space="preserve">Informational</w:t>
            </w:r>
          </w:p>
        </w:tc>
        <w:tc>
          <w:tcPr>
            <w:tcW w:type="dxa" w:w="4560"/>
            <w:tcBorders>
              <w:top w:val="none" w:color="FFFFFF" w:sz="0"/>
              <w:left w:val="none" w:color="FFFFFF" w:sz="0"/>
              <w:bottom w:val="single" w:color="D8D4CB" w:sz="4"/>
              <w:right w:val="none" w:color="FFFFFF" w:sz="0"/>
            </w:tcBorders>
            <w:tcMar>
              <w:top w:type="dxa" w:w="120"/>
              <w:left w:type="dxa" w:w="80"/>
              <w:bottom w:type="dxa" w:w="120"/>
              <w:right w:type="dxa" w:w="80"/>
            </w:tcMar>
          </w:tcPr>
          <w:p>
            <w:r>
              <w:rPr>
                <w:rFonts w:ascii="Calibri" w:cs="Calibri" w:eastAsia="Calibri" w:hAnsi="Calibri"/>
                <w:color w:val="1E293B"/>
                <w:sz w:val="20"/>
                <w:szCs w:val="20"/>
              </w:rPr>
              <w:t xml:space="preserve">Tooltips, neutral notices, "learn more" callouts. Default state for non-status messaging.</w:t>
            </w:r>
          </w:p>
        </w:tc>
      </w:tr>
    </w:tbl>
    <w:p>
      <w:pPr>
        <w:spacing w:after="160"/>
      </w:pPr>
      <w:r>
        <w:t xml:space="preserve"/>
      </w:r>
    </w:p>
    <w:p>
      <w:pPr>
        <w:pStyle w:val="Heading3"/>
        <w:spacing w:after="80" w:before="200"/>
      </w:pPr>
      <w:r>
        <w:rPr>
          <w:rFonts w:ascii="Calibri" w:cs="Calibri" w:eastAsia="Calibri" w:hAnsi="Calibri"/>
          <w:b/>
          <w:bCs/>
          <w:caps/>
          <w:color w:val="3F4750"/>
          <w:spacing w:val="30"/>
          <w:sz w:val="22"/>
          <w:szCs w:val="22"/>
        </w:rPr>
        <w:t xml:space="preserve">Color rules</w:t>
      </w:r>
    </w:p>
    <w:p>
      <w:pPr>
        <w:pStyle w:val="ListParagraph"/>
        <w:numPr>
          <w:ilvl w:val="0"/>
          <w:numId w:val="2"/>
        </w:numPr>
        <w:spacing w:after="100" w:line="300"/>
      </w:pPr>
      <w:r>
        <w:rPr>
          <w:rFonts w:ascii="Calibri" w:cs="Calibri" w:eastAsia="Calibri" w:hAnsi="Calibri"/>
          <w:b/>
          <w:bCs/>
          <w:color w:val="0B1F3A"/>
          <w:sz w:val="22"/>
          <w:szCs w:val="22"/>
        </w:rPr>
        <w:t xml:space="preserve">Contrast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All text-on-surface combinations must meet WCAG AA (4.5:1 for body, 3:1 for large). Heritage Green on Warm Ivory passes; Burnished Gold on Warm Ivory does not — gold is decorative only, never used for body text.</w:t>
      </w:r>
    </w:p>
    <w:p>
      <w:pPr>
        <w:pStyle w:val="ListParagraph"/>
        <w:numPr>
          <w:ilvl w:val="0"/>
          <w:numId w:val="2"/>
        </w:numPr>
        <w:spacing w:after="100" w:line="300"/>
      </w:pPr>
      <w:r>
        <w:rPr>
          <w:rFonts w:ascii="Calibri" w:cs="Calibri" w:eastAsia="Calibri" w:hAnsi="Calibri"/>
          <w:b/>
          <w:bCs/>
          <w:color w:val="0B1F3A"/>
          <w:sz w:val="22"/>
          <w:szCs w:val="22"/>
        </w:rPr>
        <w:t xml:space="preserve">60-30-10 rule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60% Warm Ivory, 30% Soft Stone surfaces, 10% Midnight Navy + accent. If a screen exceeds 10% saturated color, it has become a marketing page.</w:t>
      </w:r>
    </w:p>
    <w:p>
      <w:pPr>
        <w:pStyle w:val="ListParagraph"/>
        <w:numPr>
          <w:ilvl w:val="0"/>
          <w:numId w:val="2"/>
        </w:numPr>
        <w:spacing w:after="100" w:line="300"/>
      </w:pPr>
      <w:r>
        <w:rPr>
          <w:rFonts w:ascii="Calibri" w:cs="Calibri" w:eastAsia="Calibri" w:hAnsi="Calibri"/>
          <w:b/>
          <w:bCs/>
          <w:color w:val="0B1F3A"/>
          <w:sz w:val="22"/>
          <w:szCs w:val="22"/>
        </w:rPr>
        <w:t xml:space="preserve">Never tint backgrounds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Use opaque fills only. No 8% navy overlays, no semi-transparent cards. They flatten in print and screenshot poorly for client-facing PDFs.</w:t>
      </w:r>
    </w:p>
    <w:p>
      <w:r>
        <w:br w:type="page"/>
      </w:r>
    </w:p>
    <w:p>
      <w:pPr>
        <w:spacing w:after="60" w:before="60"/>
      </w:pPr>
      <w:r>
        <w:rPr>
          <w:rFonts w:ascii="Calibri" w:cs="Calibri" w:eastAsia="Calibri" w:hAnsi="Calibri"/>
          <w:b/>
          <w:bCs/>
          <w:caps/>
          <w:color w:val="B8945A"/>
          <w:spacing w:val="60"/>
          <w:sz w:val="16"/>
          <w:szCs w:val="16"/>
        </w:rPr>
        <w:t xml:space="preserve">03 — Typography</w:t>
      </w:r>
    </w:p>
    <w:p>
      <w:pPr>
        <w:pStyle w:val="Heading1"/>
        <w:pBdr>
          <w:bottom w:val="single" w:color="0B1F3A" w:sz="8" w:space="4"/>
        </w:pBdr>
        <w:spacing w:after="200" w:before="360"/>
      </w:pPr>
      <w:r>
        <w:rPr>
          <w:rFonts w:ascii="Cambria" w:cs="Cambria" w:eastAsia="Cambria" w:hAnsi="Cambria"/>
          <w:b/>
          <w:bCs/>
          <w:color w:val="0B1F3A"/>
          <w:sz w:val="40"/>
          <w:szCs w:val="40"/>
        </w:rPr>
        <w:t xml:space="preserve">Typography</w:t>
      </w:r>
    </w:p>
    <w:p>
      <w:pPr>
        <w:spacing w:after="200" w:before="80" w:line="340"/>
      </w:pPr>
      <w:r>
        <w:rPr>
          <w:rFonts w:ascii="Cambria" w:cs="Cambria" w:eastAsia="Cambria" w:hAnsi="Cambria"/>
          <w:i/>
          <w:iCs/>
          <w:color w:val="3F4750"/>
          <w:sz w:val="26"/>
          <w:szCs w:val="26"/>
        </w:rPr>
        <w:t xml:space="preserve">A serif-and-sans pairing. The serif carries the institutional weight; the sans does the daily work of forms, tables, and labels.</w:t>
      </w:r>
    </w:p>
    <w:p>
      <w:pPr>
        <w:pStyle w:val="Heading3"/>
        <w:spacing w:after="80" w:before="200"/>
      </w:pPr>
      <w:r>
        <w:rPr>
          <w:rFonts w:ascii="Calibri" w:cs="Calibri" w:eastAsia="Calibri" w:hAnsi="Calibri"/>
          <w:b/>
          <w:bCs/>
          <w:caps/>
          <w:color w:val="3F4750"/>
          <w:spacing w:val="30"/>
          <w:sz w:val="22"/>
          <w:szCs w:val="22"/>
        </w:rPr>
        <w:t xml:space="preserve">Type families</w:t>
      </w:r>
    </w:p>
    <w:p>
      <w:pPr>
        <w:spacing w:after="140" w:before="0" w:line="320"/>
      </w:pPr>
      <w:r>
        <w:rPr>
          <w:rFonts w:ascii="Calibri" w:cs="Calibri" w:eastAsia="Calibri" w:hAnsi="Calibri"/>
          <w:color w:val="1E293B"/>
          <w:sz w:val="22"/>
          <w:szCs w:val="22"/>
        </w:rPr>
        <w:t xml:space="preserve">Two faces, both free. Choose Source Serif 4 for headings and Inter Tight for UI. If hosting the fonts is impractical, the Microsoft fallbacks are listed below; they are intentionally close in proportion so a layout designed in one renders sensibly in the other.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8D4CB" w:sz="4"/>
              <w:left w:val="none" w:color="FFFFFF" w:sz="0"/>
              <w:bottom w:val="single" w:color="D8D4CB" w:sz="4"/>
              <w:right w:val="none" w:color="FFFFFF" w:sz="0"/>
            </w:tcBorders>
            <w:shd w:fill="F1EEE7" w:val="clear"/>
            <w:tcMar>
              <w:top w:type="dxa" w:w="120"/>
              <w:left w:type="dxa" w:w="120"/>
              <w:bottom w:type="dxa" w:w="120"/>
              <w:right w:type="dxa" w:w="80"/>
            </w:tcMar>
          </w:tcPr>
          <w:p>
            <w:r>
              <w:rPr>
                <w:rFonts w:ascii="Calibri" w:cs="Calibri" w:eastAsia="Calibri" w:hAnsi="Calibri"/>
                <w:b/>
                <w:bCs/>
                <w:caps/>
                <w:color w:val="3F4750"/>
                <w:spacing w:val="60"/>
                <w:sz w:val="16"/>
                <w:szCs w:val="16"/>
              </w:rPr>
              <w:t xml:space="preserve">ROLE</w:t>
            </w:r>
          </w:p>
        </w:tc>
        <w:tc>
          <w:tcPr>
            <w:tcW w:type="dxa" w:w="3480"/>
            <w:tcBorders>
              <w:top w:val="single" w:color="D8D4CB" w:sz="4"/>
              <w:left w:val="none" w:color="FFFFFF" w:sz="0"/>
              <w:bottom w:val="single" w:color="D8D4CB" w:sz="4"/>
              <w:right w:val="none" w:color="FFFFFF" w:sz="0"/>
            </w:tcBorders>
            <w:shd w:fill="F1EEE7" w:val="clear"/>
            <w:tcMar>
              <w:top w:type="dxa" w:w="120"/>
              <w:left w:type="dxa" w:w="120"/>
              <w:bottom w:type="dxa" w:w="120"/>
              <w:right w:type="dxa" w:w="80"/>
            </w:tcMar>
          </w:tcPr>
          <w:p>
            <w:r>
              <w:rPr>
                <w:rFonts w:ascii="Calibri" w:cs="Calibri" w:eastAsia="Calibri" w:hAnsi="Calibri"/>
                <w:b/>
                <w:bCs/>
                <w:caps/>
                <w:color w:val="3F4750"/>
                <w:spacing w:val="60"/>
                <w:sz w:val="16"/>
                <w:szCs w:val="16"/>
              </w:rPr>
              <w:t xml:space="preserve">PRIMARY (web)</w:t>
            </w:r>
          </w:p>
        </w:tc>
        <w:tc>
          <w:tcPr>
            <w:tcW w:type="dxa" w:w="3480"/>
            <w:tcBorders>
              <w:top w:val="single" w:color="D8D4CB" w:sz="4"/>
              <w:left w:val="none" w:color="FFFFFF" w:sz="0"/>
              <w:bottom w:val="single" w:color="D8D4CB" w:sz="4"/>
              <w:right w:val="none" w:color="FFFFFF" w:sz="0"/>
            </w:tcBorders>
            <w:shd w:fill="F1EEE7" w:val="clear"/>
            <w:tcMar>
              <w:top w:type="dxa" w:w="120"/>
              <w:left w:type="dxa" w:w="120"/>
              <w:bottom w:type="dxa" w:w="120"/>
              <w:right w:type="dxa" w:w="80"/>
            </w:tcMar>
          </w:tcPr>
          <w:p>
            <w:r>
              <w:rPr>
                <w:rFonts w:ascii="Calibri" w:cs="Calibri" w:eastAsia="Calibri" w:hAnsi="Calibri"/>
                <w:b/>
                <w:bCs/>
                <w:caps/>
                <w:color w:val="3F4750"/>
                <w:spacing w:val="60"/>
                <w:sz w:val="16"/>
                <w:szCs w:val="16"/>
              </w:rPr>
              <w:t xml:space="preserve">FALLBACK (system)</w:t>
            </w:r>
          </w:p>
        </w:tc>
      </w:tr>
      <w:tr>
        <w:tc>
          <w:tcPr>
            <w:tcW w:type="dxa" w:w="2400"/>
            <w:tcBorders>
              <w:top w:val="none" w:color="FFFFFF" w:sz="0"/>
              <w:left w:val="none" w:color="FFFFFF" w:sz="0"/>
              <w:bottom w:val="single" w:color="D8D4CB" w:sz="4"/>
              <w:right w:val="none" w:color="FFFFFF" w:sz="0"/>
            </w:tcBorders>
            <w:tcMar>
              <w:top w:type="dxa" w:w="140"/>
              <w:left w:type="dxa" w:w="120"/>
              <w:bottom w:type="dxa" w:w="140"/>
              <w:right w:type="dxa" w:w="80"/>
            </w:tcMar>
          </w:tcPr>
          <w:p>
            <w:r>
              <w:rPr>
                <w:rFonts w:ascii="Calibri" w:cs="Calibri" w:eastAsia="Calibri" w:hAnsi="Calibri"/>
                <w:b/>
                <w:bCs/>
                <w:color w:val="0B1F3A"/>
                <w:sz w:val="22"/>
                <w:szCs w:val="22"/>
              </w:rPr>
              <w:t xml:space="preserve">Display &amp; H1–H2</w:t>
            </w:r>
          </w:p>
        </w:tc>
        <w:tc>
          <w:tcPr>
            <w:tcW w:type="dxa" w:w="3480"/>
            <w:tcBorders>
              <w:top w:val="none" w:color="FFFFFF" w:sz="0"/>
              <w:left w:val="none" w:color="FFFFFF" w:sz="0"/>
              <w:bottom w:val="single" w:color="D8D4CB" w:sz="4"/>
              <w:right w:val="none" w:color="FFFFFF" w:sz="0"/>
            </w:tcBorders>
            <w:tcMar>
              <w:top w:type="dxa" w:w="140"/>
              <w:left w:type="dxa" w:w="120"/>
              <w:bottom w:type="dxa" w:w="140"/>
              <w:right w:type="dxa" w:w="80"/>
            </w:tcMar>
          </w:tcPr>
          <w:p>
            <w:r>
              <w:rPr>
                <w:rFonts w:ascii="Cambria" w:cs="Cambria" w:eastAsia="Cambria" w:hAnsi="Cambria"/>
                <w:color w:val="1E293B"/>
                <w:sz w:val="24"/>
                <w:szCs w:val="24"/>
              </w:rPr>
              <w:t xml:space="preserve">Source Serif 4</w:t>
            </w:r>
          </w:p>
        </w:tc>
        <w:tc>
          <w:tcPr>
            <w:tcW w:type="dxa" w:w="3480"/>
            <w:tcBorders>
              <w:top w:val="none" w:color="FFFFFF" w:sz="0"/>
              <w:left w:val="none" w:color="FFFFFF" w:sz="0"/>
              <w:bottom w:val="single" w:color="D8D4CB" w:sz="4"/>
              <w:right w:val="none" w:color="FFFFFF" w:sz="0"/>
            </w:tcBorders>
            <w:tcMar>
              <w:top w:type="dxa" w:w="140"/>
              <w:left w:type="dxa" w:w="120"/>
              <w:bottom w:type="dxa" w:w="140"/>
              <w:right w:type="dxa" w:w="80"/>
            </w:tcMar>
          </w:tcPr>
          <w:p>
            <w:r>
              <w:rPr>
                <w:rFonts w:ascii="Calibri" w:cs="Calibri" w:eastAsia="Calibri" w:hAnsi="Calibri"/>
                <w:color w:val="3F4750"/>
                <w:sz w:val="20"/>
                <w:szCs w:val="20"/>
              </w:rPr>
              <w:t xml:space="preserve">Cambria, Georgia, serif</w:t>
            </w:r>
          </w:p>
        </w:tc>
      </w:tr>
      <w:tr>
        <w:tc>
          <w:tcPr>
            <w:tcW w:type="dxa" w:w="2400"/>
            <w:tcBorders>
              <w:top w:val="none" w:color="FFFFFF" w:sz="0"/>
              <w:left w:val="none" w:color="FFFFFF" w:sz="0"/>
              <w:bottom w:val="single" w:color="D8D4CB" w:sz="4"/>
              <w:right w:val="none" w:color="FFFFFF" w:sz="0"/>
            </w:tcBorders>
            <w:tcMar>
              <w:top w:type="dxa" w:w="140"/>
              <w:left w:type="dxa" w:w="120"/>
              <w:bottom w:type="dxa" w:w="140"/>
              <w:right w:type="dxa" w:w="80"/>
            </w:tcMar>
          </w:tcPr>
          <w:p>
            <w:r>
              <w:rPr>
                <w:rFonts w:ascii="Calibri" w:cs="Calibri" w:eastAsia="Calibri" w:hAnsi="Calibri"/>
                <w:b/>
                <w:bCs/>
                <w:color w:val="0B1F3A"/>
                <w:sz w:val="22"/>
                <w:szCs w:val="22"/>
              </w:rPr>
              <w:t xml:space="preserve">UI, body, labels</w:t>
            </w:r>
          </w:p>
        </w:tc>
        <w:tc>
          <w:tcPr>
            <w:tcW w:type="dxa" w:w="3480"/>
            <w:tcBorders>
              <w:top w:val="none" w:color="FFFFFF" w:sz="0"/>
              <w:left w:val="none" w:color="FFFFFF" w:sz="0"/>
              <w:bottom w:val="single" w:color="D8D4CB" w:sz="4"/>
              <w:right w:val="none" w:color="FFFFFF" w:sz="0"/>
            </w:tcBorders>
            <w:tcMar>
              <w:top w:type="dxa" w:w="140"/>
              <w:left w:type="dxa" w:w="120"/>
              <w:bottom w:type="dxa" w:w="140"/>
              <w:right w:type="dxa" w:w="80"/>
            </w:tcMar>
          </w:tcPr>
          <w:p>
            <w:r>
              <w:rPr>
                <w:rFonts w:ascii="Calibri" w:cs="Calibri" w:eastAsia="Calibri" w:hAnsi="Calibri"/>
                <w:color w:val="1E293B"/>
                <w:sz w:val="24"/>
                <w:szCs w:val="24"/>
              </w:rPr>
              <w:t xml:space="preserve">Inter Tight</w:t>
            </w:r>
          </w:p>
        </w:tc>
        <w:tc>
          <w:tcPr>
            <w:tcW w:type="dxa" w:w="3480"/>
            <w:tcBorders>
              <w:top w:val="none" w:color="FFFFFF" w:sz="0"/>
              <w:left w:val="none" w:color="FFFFFF" w:sz="0"/>
              <w:bottom w:val="single" w:color="D8D4CB" w:sz="4"/>
              <w:right w:val="none" w:color="FFFFFF" w:sz="0"/>
            </w:tcBorders>
            <w:tcMar>
              <w:top w:type="dxa" w:w="140"/>
              <w:left w:type="dxa" w:w="120"/>
              <w:bottom w:type="dxa" w:w="140"/>
              <w:right w:type="dxa" w:w="80"/>
            </w:tcMar>
          </w:tcPr>
          <w:p>
            <w:r>
              <w:rPr>
                <w:rFonts w:ascii="Calibri" w:cs="Calibri" w:eastAsia="Calibri" w:hAnsi="Calibri"/>
                <w:color w:val="3F4750"/>
                <w:sz w:val="20"/>
                <w:szCs w:val="20"/>
              </w:rPr>
              <w:t xml:space="preserve">Calibri, Segoe UI, system-ui, sans-serif</w:t>
            </w:r>
          </w:p>
        </w:tc>
      </w:tr>
      <w:tr>
        <w:tc>
          <w:tcPr>
            <w:tcW w:type="dxa" w:w="2400"/>
            <w:tcBorders>
              <w:top w:val="none" w:color="FFFFFF" w:sz="0"/>
              <w:left w:val="none" w:color="FFFFFF" w:sz="0"/>
              <w:bottom w:val="single" w:color="D8D4CB" w:sz="4"/>
              <w:right w:val="none" w:color="FFFFFF" w:sz="0"/>
            </w:tcBorders>
            <w:tcMar>
              <w:top w:type="dxa" w:w="140"/>
              <w:left w:type="dxa" w:w="120"/>
              <w:bottom w:type="dxa" w:w="140"/>
              <w:right w:type="dxa" w:w="80"/>
            </w:tcMar>
          </w:tcPr>
          <w:p>
            <w:r>
              <w:rPr>
                <w:rFonts w:ascii="Calibri" w:cs="Calibri" w:eastAsia="Calibri" w:hAnsi="Calibri"/>
                <w:b/>
                <w:bCs/>
                <w:color w:val="0B1F3A"/>
                <w:sz w:val="22"/>
                <w:szCs w:val="22"/>
              </w:rPr>
              <w:t xml:space="preserve">Numerals &amp; code</w:t>
            </w:r>
          </w:p>
        </w:tc>
        <w:tc>
          <w:tcPr>
            <w:tcW w:type="dxa" w:w="3480"/>
            <w:tcBorders>
              <w:top w:val="none" w:color="FFFFFF" w:sz="0"/>
              <w:left w:val="none" w:color="FFFFFF" w:sz="0"/>
              <w:bottom w:val="single" w:color="D8D4CB" w:sz="4"/>
              <w:right w:val="none" w:color="FFFFFF" w:sz="0"/>
            </w:tcBorders>
            <w:tcMar>
              <w:top w:type="dxa" w:w="140"/>
              <w:left w:type="dxa" w:w="120"/>
              <w:bottom w:type="dxa" w:w="140"/>
              <w:right w:type="dxa" w:w="80"/>
            </w:tcMar>
          </w:tcPr>
          <w:p>
            <w:r>
              <w:rPr>
                <w:rFonts w:ascii="Consolas" w:cs="Consolas" w:eastAsia="Consolas" w:hAnsi="Consolas"/>
                <w:color w:val="1E293B"/>
                <w:sz w:val="24"/>
                <w:szCs w:val="24"/>
              </w:rPr>
              <w:t xml:space="preserve">JetBrains Mono</w:t>
            </w:r>
          </w:p>
        </w:tc>
        <w:tc>
          <w:tcPr>
            <w:tcW w:type="dxa" w:w="3480"/>
            <w:tcBorders>
              <w:top w:val="none" w:color="FFFFFF" w:sz="0"/>
              <w:left w:val="none" w:color="FFFFFF" w:sz="0"/>
              <w:bottom w:val="single" w:color="D8D4CB" w:sz="4"/>
              <w:right w:val="none" w:color="FFFFFF" w:sz="0"/>
            </w:tcBorders>
            <w:tcMar>
              <w:top w:type="dxa" w:w="140"/>
              <w:left w:type="dxa" w:w="120"/>
              <w:bottom w:type="dxa" w:w="140"/>
              <w:right w:type="dxa" w:w="80"/>
            </w:tcMar>
          </w:tcPr>
          <w:p>
            <w:r>
              <w:rPr>
                <w:rFonts w:ascii="Calibri" w:cs="Calibri" w:eastAsia="Calibri" w:hAnsi="Calibri"/>
                <w:color w:val="3F4750"/>
                <w:sz w:val="20"/>
                <w:szCs w:val="20"/>
              </w:rPr>
              <w:t xml:space="preserve">Consolas, ui-monospace, monospace</w:t>
            </w:r>
          </w:p>
        </w:tc>
      </w:tr>
    </w:tbl>
    <w:p>
      <w:pPr>
        <w:spacing w:after="180"/>
      </w:pPr>
      <w:r>
        <w:t xml:space="preserve"/>
      </w:r>
    </w:p>
    <w:p>
      <w:pPr>
        <w:pStyle w:val="Heading3"/>
        <w:spacing w:after="80" w:before="200"/>
      </w:pPr>
      <w:r>
        <w:rPr>
          <w:rFonts w:ascii="Calibri" w:cs="Calibri" w:eastAsia="Calibri" w:hAnsi="Calibri"/>
          <w:b/>
          <w:bCs/>
          <w:caps/>
          <w:color w:val="3F4750"/>
          <w:spacing w:val="30"/>
          <w:sz w:val="22"/>
          <w:szCs w:val="22"/>
        </w:rPr>
        <w:t xml:space="preserve">Type scale</w:t>
      </w:r>
    </w:p>
    <w:p>
      <w:pPr>
        <w:spacing w:after="140" w:before="0" w:line="320"/>
      </w:pPr>
      <w:r>
        <w:rPr>
          <w:rFonts w:ascii="Calibri" w:cs="Calibri" w:eastAsia="Calibri" w:hAnsi="Calibri"/>
          <w:color w:val="1E293B"/>
          <w:sz w:val="22"/>
          <w:szCs w:val="22"/>
        </w:rPr>
        <w:t xml:space="preserve">The scale is a 1.250 (major third) ratio anchored at 16px. It is intentionally compact — dashboards reward density. Heroes and marketing pages are the only places where the H1 should ever climb above 36px.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100"/>
        <w:gridCol w:w="3160"/>
      </w:tblGrid>
      <w:tr>
        <w:tc>
          <w:tcPr>
            <w:tcW w:type="dxa" w:w="3200"/>
            <w:tcBorders>
              <w:top w:val="single" w:color="D8D4CB" w:sz="4"/>
              <w:left w:val="none" w:color="FFFFFF" w:sz="0"/>
              <w:bottom w:val="single" w:color="D8D4CB" w:sz="4"/>
              <w:right w:val="none" w:color="FFFFFF" w:sz="0"/>
            </w:tcBorders>
            <w:tcMar>
              <w:top w:type="dxa" w:w="200"/>
              <w:left w:type="dxa" w:w="120"/>
              <w:bottom w:type="dxa" w:w="200"/>
              <w:right w:type="dxa" w:w="80"/>
            </w:tcMar>
            <w:vAlign w:val="center"/>
          </w:tcPr>
          <w:p>
            <w:r>
              <w:rPr>
                <w:rFonts w:ascii="Cambria" w:cs="Cambria" w:eastAsia="Cambria" w:hAnsi="Cambria"/>
                <w:b/>
                <w:bCs/>
                <w:caps w:val="false"/>
                <w:color w:val="0B1F3A"/>
                <w:sz w:val="64"/>
                <w:szCs w:val="64"/>
              </w:rPr>
              <w:t xml:space="preserve">Quote</w:t>
            </w:r>
          </w:p>
        </w:tc>
        <w:tc>
          <w:tcPr>
            <w:tcW w:type="dxa" w:w="1900"/>
            <w:tcBorders>
              <w:top w:val="single" w:color="D8D4CB" w:sz="4"/>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olor w:val="0B1F3A"/>
                <w:sz w:val="20"/>
                <w:szCs w:val="20"/>
              </w:rPr>
              <w:t xml:space="preserve">Display H1</w:t>
            </w:r>
          </w:p>
        </w:tc>
        <w:tc>
          <w:tcPr>
            <w:tcW w:type="dxa" w:w="1100"/>
            <w:tcBorders>
              <w:top w:val="single" w:color="D8D4CB" w:sz="4"/>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color w:val="3F4750"/>
                <w:sz w:val="18"/>
                <w:szCs w:val="18"/>
              </w:rPr>
              <w:t xml:space="preserve">36 / 44</w:t>
            </w:r>
          </w:p>
        </w:tc>
        <w:tc>
          <w:tcPr>
            <w:tcW w:type="dxa" w:w="3160"/>
            <w:tcBorders>
              <w:top w:val="single" w:color="D8D4CB" w:sz="4"/>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color w:val="1E293B"/>
                <w:sz w:val="20"/>
                <w:szCs w:val="20"/>
              </w:rPr>
              <w:t xml:space="preserve">Page titles, screen names</w:t>
            </w:r>
          </w:p>
        </w:tc>
      </w:tr>
      <w:tr>
        <w:tc>
          <w:tcPr>
            <w:tcW w:type="dxa" w:w="32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mbria" w:cs="Cambria" w:eastAsia="Cambria" w:hAnsi="Cambria"/>
                <w:b/>
                <w:bCs/>
                <w:caps w:val="false"/>
                <w:color w:val="0B1F3A"/>
                <w:sz w:val="48"/>
                <w:szCs w:val="48"/>
              </w:rPr>
              <w:t xml:space="preserve">Policies</w:t>
            </w:r>
          </w:p>
        </w:tc>
        <w:tc>
          <w:tcPr>
            <w:tcW w:type="dxa" w:w="19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olor w:val="0B1F3A"/>
                <w:sz w:val="20"/>
                <w:szCs w:val="20"/>
              </w:rPr>
              <w:t xml:space="preserve">Section H2</w:t>
            </w:r>
          </w:p>
        </w:tc>
        <w:tc>
          <w:tcPr>
            <w:tcW w:type="dxa" w:w="11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color w:val="3F4750"/>
                <w:sz w:val="18"/>
                <w:szCs w:val="18"/>
              </w:rPr>
              <w:t xml:space="preserve">26 / 34</w:t>
            </w:r>
          </w:p>
        </w:tc>
        <w:tc>
          <w:tcPr>
            <w:tcW w:type="dxa" w:w="316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color w:val="1E293B"/>
                <w:sz w:val="20"/>
                <w:szCs w:val="20"/>
              </w:rPr>
              <w:t xml:space="preserve">Top of card groupings</w:t>
            </w:r>
          </w:p>
        </w:tc>
      </w:tr>
      <w:tr>
        <w:tc>
          <w:tcPr>
            <w:tcW w:type="dxa" w:w="32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aps/>
                <w:color w:val="3F4750"/>
                <w:spacing w:val="30"/>
                <w:sz w:val="26"/>
                <w:szCs w:val="26"/>
              </w:rPr>
              <w:t xml:space="preserve">EYEBROW</w:t>
            </w:r>
          </w:p>
        </w:tc>
        <w:tc>
          <w:tcPr>
            <w:tcW w:type="dxa" w:w="19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olor w:val="0B1F3A"/>
                <w:sz w:val="20"/>
                <w:szCs w:val="20"/>
              </w:rPr>
              <w:t xml:space="preserve">Eyebrow H3</w:t>
            </w:r>
          </w:p>
        </w:tc>
        <w:tc>
          <w:tcPr>
            <w:tcW w:type="dxa" w:w="11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color w:val="3F4750"/>
                <w:sz w:val="18"/>
                <w:szCs w:val="18"/>
              </w:rPr>
              <w:t xml:space="preserve">13 / 18</w:t>
            </w:r>
          </w:p>
        </w:tc>
        <w:tc>
          <w:tcPr>
            <w:tcW w:type="dxa" w:w="316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color w:val="1E293B"/>
                <w:sz w:val="20"/>
                <w:szCs w:val="20"/>
              </w:rPr>
              <w:t xml:space="preserve">ALL CAPS, +30 tracking</w:t>
            </w:r>
          </w:p>
        </w:tc>
      </w:tr>
      <w:tr>
        <w:tc>
          <w:tcPr>
            <w:tcW w:type="dxa" w:w="32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val="false"/>
                <w:bCs w:val="false"/>
                <w:caps w:val="false"/>
                <w:color w:val="1E293B"/>
                <w:sz w:val="32"/>
                <w:szCs w:val="32"/>
              </w:rPr>
              <w:t xml:space="preserve">Default body text</w:t>
            </w:r>
          </w:p>
        </w:tc>
        <w:tc>
          <w:tcPr>
            <w:tcW w:type="dxa" w:w="19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olor w:val="0B1F3A"/>
                <w:sz w:val="20"/>
                <w:szCs w:val="20"/>
              </w:rPr>
              <w:t xml:space="preserve">Body</w:t>
            </w:r>
          </w:p>
        </w:tc>
        <w:tc>
          <w:tcPr>
            <w:tcW w:type="dxa" w:w="11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color w:val="3F4750"/>
                <w:sz w:val="18"/>
                <w:szCs w:val="18"/>
              </w:rPr>
              <w:t xml:space="preserve">16 / 24</w:t>
            </w:r>
          </w:p>
        </w:tc>
        <w:tc>
          <w:tcPr>
            <w:tcW w:type="dxa" w:w="316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color w:val="1E293B"/>
                <w:sz w:val="20"/>
                <w:szCs w:val="20"/>
              </w:rPr>
              <w:t xml:space="preserve">Paragraphs, descriptions</w:t>
            </w:r>
          </w:p>
        </w:tc>
      </w:tr>
      <w:tr>
        <w:tc>
          <w:tcPr>
            <w:tcW w:type="dxa" w:w="32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aps w:val="false"/>
                <w:color w:val="0B1F3A"/>
                <w:sz w:val="32"/>
                <w:szCs w:val="32"/>
              </w:rPr>
              <w:t xml:space="preserve">Strong body</w:t>
            </w:r>
          </w:p>
        </w:tc>
        <w:tc>
          <w:tcPr>
            <w:tcW w:type="dxa" w:w="19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olor w:val="0B1F3A"/>
                <w:sz w:val="20"/>
                <w:szCs w:val="20"/>
              </w:rPr>
              <w:t xml:space="preserve">Strong</w:t>
            </w:r>
          </w:p>
        </w:tc>
        <w:tc>
          <w:tcPr>
            <w:tcW w:type="dxa" w:w="11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color w:val="3F4750"/>
                <w:sz w:val="18"/>
                <w:szCs w:val="18"/>
              </w:rPr>
              <w:t xml:space="preserve">16 / 24</w:t>
            </w:r>
          </w:p>
        </w:tc>
        <w:tc>
          <w:tcPr>
            <w:tcW w:type="dxa" w:w="316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color w:val="1E293B"/>
                <w:sz w:val="20"/>
                <w:szCs w:val="20"/>
              </w:rPr>
              <w:t xml:space="preserve">Emphasis within prose</w:t>
            </w:r>
          </w:p>
        </w:tc>
      </w:tr>
      <w:tr>
        <w:tc>
          <w:tcPr>
            <w:tcW w:type="dxa" w:w="32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aps/>
                <w:color w:val="3F4750"/>
                <w:spacing w:val="30"/>
                <w:sz w:val="26"/>
                <w:szCs w:val="26"/>
              </w:rPr>
              <w:t xml:space="preserve">LABEL</w:t>
            </w:r>
          </w:p>
        </w:tc>
        <w:tc>
          <w:tcPr>
            <w:tcW w:type="dxa" w:w="19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olor w:val="0B1F3A"/>
                <w:sz w:val="20"/>
                <w:szCs w:val="20"/>
              </w:rPr>
              <w:t xml:space="preserve">Form label</w:t>
            </w:r>
          </w:p>
        </w:tc>
        <w:tc>
          <w:tcPr>
            <w:tcW w:type="dxa" w:w="11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color w:val="3F4750"/>
                <w:sz w:val="18"/>
                <w:szCs w:val="18"/>
              </w:rPr>
              <w:t xml:space="preserve">13 / 16</w:t>
            </w:r>
          </w:p>
        </w:tc>
        <w:tc>
          <w:tcPr>
            <w:tcW w:type="dxa" w:w="316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color w:val="1E293B"/>
                <w:sz w:val="20"/>
                <w:szCs w:val="20"/>
              </w:rPr>
              <w:t xml:space="preserve">Above every input, +30 track</w:t>
            </w:r>
          </w:p>
        </w:tc>
      </w:tr>
      <w:tr>
        <w:tc>
          <w:tcPr>
            <w:tcW w:type="dxa" w:w="32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val="false"/>
                <w:bCs w:val="false"/>
                <w:caps w:val="false"/>
                <w:color w:val="3F4750"/>
                <w:sz w:val="24"/>
                <w:szCs w:val="24"/>
              </w:rPr>
              <w:t xml:space="preserve">Caption text</w:t>
            </w:r>
          </w:p>
        </w:tc>
        <w:tc>
          <w:tcPr>
            <w:tcW w:type="dxa" w:w="19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olor w:val="0B1F3A"/>
                <w:sz w:val="20"/>
                <w:szCs w:val="20"/>
              </w:rPr>
              <w:t xml:space="preserve">Caption</w:t>
            </w:r>
          </w:p>
        </w:tc>
        <w:tc>
          <w:tcPr>
            <w:tcW w:type="dxa" w:w="11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color w:val="3F4750"/>
                <w:sz w:val="18"/>
                <w:szCs w:val="18"/>
              </w:rPr>
              <w:t xml:space="preserve">12 / 16</w:t>
            </w:r>
          </w:p>
        </w:tc>
        <w:tc>
          <w:tcPr>
            <w:tcW w:type="dxa" w:w="316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color w:val="1E293B"/>
                <w:sz w:val="20"/>
                <w:szCs w:val="20"/>
              </w:rPr>
              <w:t xml:space="preserve">Helper text, footnotes</w:t>
            </w:r>
          </w:p>
        </w:tc>
      </w:tr>
      <w:tr>
        <w:tc>
          <w:tcPr>
            <w:tcW w:type="dxa" w:w="32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b/>
                <w:bCs/>
                <w:caps w:val="false"/>
                <w:color w:val="0B1F3A"/>
                <w:sz w:val="64"/>
                <w:szCs w:val="64"/>
              </w:rPr>
              <w:t xml:space="preserve">$847.50</w:t>
            </w:r>
          </w:p>
        </w:tc>
        <w:tc>
          <w:tcPr>
            <w:tcW w:type="dxa" w:w="19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olor w:val="0B1F3A"/>
                <w:sz w:val="20"/>
                <w:szCs w:val="20"/>
              </w:rPr>
              <w:t xml:space="preserve">Numeric Hero</w:t>
            </w:r>
          </w:p>
        </w:tc>
        <w:tc>
          <w:tcPr>
            <w:tcW w:type="dxa" w:w="11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color w:val="3F4750"/>
                <w:sz w:val="18"/>
                <w:szCs w:val="18"/>
              </w:rPr>
              <w:t xml:space="preserve">44 / 48</w:t>
            </w:r>
          </w:p>
        </w:tc>
        <w:tc>
          <w:tcPr>
            <w:tcW w:type="dxa" w:w="316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color w:val="1E293B"/>
                <w:sz w:val="20"/>
                <w:szCs w:val="20"/>
              </w:rPr>
              <w:t xml:space="preserve">Premium, coverage amount</w:t>
            </w:r>
          </w:p>
        </w:tc>
      </w:tr>
      <w:tr>
        <w:tc>
          <w:tcPr>
            <w:tcW w:type="dxa" w:w="32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b w:val="false"/>
                <w:bCs w:val="false"/>
                <w:caps w:val="false"/>
                <w:color w:val="1E293B"/>
                <w:sz w:val="28"/>
                <w:szCs w:val="28"/>
              </w:rPr>
              <w:t xml:space="preserve">1,247.83</w:t>
            </w:r>
          </w:p>
        </w:tc>
        <w:tc>
          <w:tcPr>
            <w:tcW w:type="dxa" w:w="19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b/>
                <w:bCs/>
                <w:color w:val="0B1F3A"/>
                <w:sz w:val="20"/>
                <w:szCs w:val="20"/>
              </w:rPr>
              <w:t xml:space="preserve">Numeric Table</w:t>
            </w:r>
          </w:p>
        </w:tc>
        <w:tc>
          <w:tcPr>
            <w:tcW w:type="dxa" w:w="110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onsolas" w:cs="Consolas" w:eastAsia="Consolas" w:hAnsi="Consolas"/>
                <w:color w:val="3F4750"/>
                <w:sz w:val="18"/>
                <w:szCs w:val="18"/>
              </w:rPr>
              <w:t xml:space="preserve">14 / 20</w:t>
            </w:r>
          </w:p>
        </w:tc>
        <w:tc>
          <w:tcPr>
            <w:tcW w:type="dxa" w:w="3160"/>
            <w:tcBorders>
              <w:top w:val="none" w:color="FFFFFF" w:sz="0"/>
              <w:left w:val="none" w:color="FFFFFF" w:sz="0"/>
              <w:bottom w:val="single" w:color="D8D4CB" w:sz="4"/>
              <w:right w:val="none" w:color="FFFFFF" w:sz="0"/>
            </w:tcBorders>
            <w:tcMar>
              <w:top w:type="dxa" w:w="200"/>
              <w:left w:type="dxa" w:w="120"/>
              <w:bottom w:type="dxa" w:w="200"/>
              <w:right w:type="dxa" w:w="80"/>
            </w:tcMar>
            <w:vAlign w:val="center"/>
          </w:tcPr>
          <w:p>
            <w:r>
              <w:rPr>
                <w:rFonts w:ascii="Calibri" w:cs="Calibri" w:eastAsia="Calibri" w:hAnsi="Calibri"/>
                <w:color w:val="1E293B"/>
                <w:sz w:val="20"/>
                <w:szCs w:val="20"/>
              </w:rPr>
              <w:t xml:space="preserve">Tabular figures, right-aligned</w:t>
            </w:r>
          </w:p>
        </w:tc>
      </w:tr>
    </w:tbl>
    <w:p>
      <w:pPr>
        <w:spacing w:after="160"/>
      </w:pPr>
      <w:r>
        <w:t xml:space="preserve"/>
      </w:r>
    </w:p>
    <w:p>
      <w:pPr>
        <w:pStyle w:val="Heading3"/>
        <w:spacing w:after="80" w:before="200"/>
      </w:pPr>
      <w:r>
        <w:rPr>
          <w:rFonts w:ascii="Calibri" w:cs="Calibri" w:eastAsia="Calibri" w:hAnsi="Calibri"/>
          <w:b/>
          <w:bCs/>
          <w:caps/>
          <w:color w:val="3F4750"/>
          <w:spacing w:val="30"/>
          <w:sz w:val="22"/>
          <w:szCs w:val="22"/>
        </w:rPr>
        <w:t xml:space="preserve">Type rules</w:t>
      </w:r>
    </w:p>
    <w:p>
      <w:pPr>
        <w:pStyle w:val="ListParagraph"/>
        <w:numPr>
          <w:ilvl w:val="0"/>
          <w:numId w:val="2"/>
        </w:numPr>
        <w:spacing w:after="100" w:line="300"/>
      </w:pPr>
      <w:r>
        <w:rPr>
          <w:rFonts w:ascii="Calibri" w:cs="Calibri" w:eastAsia="Calibri" w:hAnsi="Calibri"/>
          <w:b/>
          <w:bCs/>
          <w:color w:val="0B1F3A"/>
          <w:sz w:val="22"/>
          <w:szCs w:val="22"/>
        </w:rPr>
        <w:t xml:space="preserve">Tabular figures everywhere a number is shown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JetBrains Mono uses tabular by default; if Inter Tight is used for a column of numbers, enable the OpenType `tnum` feature so digits align across rows.</w:t>
      </w:r>
    </w:p>
    <w:p>
      <w:pPr>
        <w:pStyle w:val="ListParagraph"/>
        <w:numPr>
          <w:ilvl w:val="0"/>
          <w:numId w:val="2"/>
        </w:numPr>
        <w:spacing w:after="100" w:line="300"/>
      </w:pPr>
      <w:r>
        <w:rPr>
          <w:rFonts w:ascii="Calibri" w:cs="Calibri" w:eastAsia="Calibri" w:hAnsi="Calibri"/>
          <w:b/>
          <w:bCs/>
          <w:color w:val="0B1F3A"/>
          <w:sz w:val="22"/>
          <w:szCs w:val="22"/>
        </w:rPr>
        <w:t xml:space="preserve">Two type sizes per card, max</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 card with a label, a value, and a caption is using three sizes — that is the ceiling. Resist the urge to add a fourth.</w:t>
      </w:r>
    </w:p>
    <w:p>
      <w:pPr>
        <w:pStyle w:val="ListParagraph"/>
        <w:numPr>
          <w:ilvl w:val="0"/>
          <w:numId w:val="2"/>
        </w:numPr>
        <w:spacing w:after="100" w:line="300"/>
      </w:pPr>
      <w:r>
        <w:rPr>
          <w:rFonts w:ascii="Calibri" w:cs="Calibri" w:eastAsia="Calibri" w:hAnsi="Calibri"/>
          <w:b/>
          <w:bCs/>
          <w:color w:val="0B1F3A"/>
          <w:sz w:val="22"/>
          <w:szCs w:val="22"/>
        </w:rPr>
        <w:t xml:space="preserve">Sentence case for everything</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Except H3 eyebrows and form labels, which are ALL CAPS with +30 letter-spacing. Avoid title case — it reads as marketing.</w:t>
      </w:r>
    </w:p>
    <w:p>
      <w:pPr>
        <w:pStyle w:val="ListParagraph"/>
        <w:numPr>
          <w:ilvl w:val="0"/>
          <w:numId w:val="2"/>
        </w:numPr>
        <w:spacing w:after="100" w:line="300"/>
      </w:pPr>
      <w:r>
        <w:rPr>
          <w:rFonts w:ascii="Calibri" w:cs="Calibri" w:eastAsia="Calibri" w:hAnsi="Calibri"/>
          <w:b/>
          <w:bCs/>
          <w:color w:val="0B1F3A"/>
          <w:sz w:val="22"/>
          <w:szCs w:val="22"/>
        </w:rPr>
        <w:t xml:space="preserve">Line length</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Body copy caps at roughly 70 characters per line. Inside cards, allow long-form copy to wrap rather than expand the card.</w:t>
      </w:r>
    </w:p>
    <w:p>
      <w:r>
        <w:br w:type="page"/>
      </w:r>
    </w:p>
    <w:p>
      <w:pPr>
        <w:spacing w:after="60" w:before="60"/>
      </w:pPr>
      <w:r>
        <w:rPr>
          <w:rFonts w:ascii="Calibri" w:cs="Calibri" w:eastAsia="Calibri" w:hAnsi="Calibri"/>
          <w:b/>
          <w:bCs/>
          <w:caps/>
          <w:color w:val="B8945A"/>
          <w:spacing w:val="60"/>
          <w:sz w:val="16"/>
          <w:szCs w:val="16"/>
        </w:rPr>
        <w:t xml:space="preserve">04 — Layout</w:t>
      </w:r>
    </w:p>
    <w:p>
      <w:pPr>
        <w:pStyle w:val="Heading1"/>
        <w:pBdr>
          <w:bottom w:val="single" w:color="0B1F3A" w:sz="8" w:space="4"/>
        </w:pBdr>
        <w:spacing w:after="200" w:before="360"/>
      </w:pPr>
      <w:r>
        <w:rPr>
          <w:rFonts w:ascii="Cambria" w:cs="Cambria" w:eastAsia="Cambria" w:hAnsi="Cambria"/>
          <w:b/>
          <w:bCs/>
          <w:color w:val="0B1F3A"/>
          <w:sz w:val="40"/>
          <w:szCs w:val="40"/>
        </w:rPr>
        <w:t xml:space="preserve">Layout &amp; Spacing</w:t>
      </w:r>
    </w:p>
    <w:p>
      <w:pPr>
        <w:spacing w:after="200" w:before="80" w:line="340"/>
      </w:pPr>
      <w:r>
        <w:rPr>
          <w:rFonts w:ascii="Cambria" w:cs="Cambria" w:eastAsia="Cambria" w:hAnsi="Cambria"/>
          <w:i/>
          <w:iCs/>
          <w:color w:val="3F4750"/>
          <w:sz w:val="26"/>
          <w:szCs w:val="26"/>
        </w:rPr>
        <w:t xml:space="preserve">A 12-column grid with a 4-pixel base unit. Every margin, gap, and padding value is a multiple of 4 — never an arbitrary 13 or 17.</w:t>
      </w:r>
    </w:p>
    <w:p>
      <w:pPr>
        <w:pStyle w:val="Heading3"/>
        <w:spacing w:after="80" w:before="200"/>
      </w:pPr>
      <w:r>
        <w:rPr>
          <w:rFonts w:ascii="Calibri" w:cs="Calibri" w:eastAsia="Calibri" w:hAnsi="Calibri"/>
          <w:b/>
          <w:bCs/>
          <w:caps/>
          <w:color w:val="3F4750"/>
          <w:spacing w:val="30"/>
          <w:sz w:val="22"/>
          <w:szCs w:val="22"/>
        </w:rPr>
        <w:t xml:space="preserve">Spacing scale</w:t>
      </w:r>
    </w:p>
    <w:p>
      <w:pPr>
        <w:spacing w:after="140" w:before="0" w:line="320"/>
      </w:pPr>
      <w:r>
        <w:rPr>
          <w:rFonts w:ascii="Calibri" w:cs="Calibri" w:eastAsia="Calibri" w:hAnsi="Calibri"/>
          <w:color w:val="1E293B"/>
          <w:sz w:val="22"/>
          <w:szCs w:val="22"/>
        </w:rPr>
        <w:t xml:space="preserve">Use these tokens by name in code. Do not invent new sizes — every screen pulls from the same eight values.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8D4CB" w:sz="4"/>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b/>
                <w:bCs/>
                <w:color w:val="0B1F3A"/>
                <w:sz w:val="20"/>
                <w:szCs w:val="20"/>
              </w:rPr>
              <w:t xml:space="preserve">space-1</w:t>
            </w:r>
          </w:p>
        </w:tc>
        <w:tc>
          <w:tcPr>
            <w:tcW w:type="dxa" w:w="1200"/>
            <w:tcBorders>
              <w:top w:val="single" w:color="D8D4CB" w:sz="4"/>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color w:val="1E293B"/>
                <w:sz w:val="20"/>
                <w:szCs w:val="20"/>
              </w:rPr>
              <w:t xml:space="preserve">4 px</w:t>
            </w:r>
          </w:p>
        </w:tc>
        <w:tc>
          <w:tcPr>
            <w:tcW w:type="dxa" w:w="6760"/>
            <w:tcBorders>
              <w:top w:val="single" w:color="D8D4CB" w:sz="4"/>
              <w:left w:val="none" w:color="FFFFFF" w:sz="0"/>
              <w:bottom w:val="single" w:color="D8D4CB" w:sz="4"/>
              <w:right w:val="none" w:color="FFFFFF" w:sz="0"/>
            </w:tcBorders>
            <w:tcMar>
              <w:top w:type="dxa" w:w="100"/>
              <w:left w:type="dxa" w:w="120"/>
              <w:bottom w:type="dxa" w:w="100"/>
              <w:right w:type="dxa" w:w="80"/>
            </w:tcMar>
          </w:tcPr>
          <w:p>
            <w:r>
              <w:rPr>
                <w:rFonts w:ascii="Calibri" w:cs="Calibri" w:eastAsia="Calibri" w:hAnsi="Calibri"/>
                <w:color w:val="1E293B"/>
                <w:sz w:val="20"/>
                <w:szCs w:val="20"/>
              </w:rPr>
              <w:t xml:space="preserve">Tight icon-to-label gap</w:t>
            </w:r>
          </w:p>
        </w:tc>
      </w:tr>
      <w:tr>
        <w:tc>
          <w:tcPr>
            <w:tcW w:type="dxa" w:w="14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b/>
                <w:bCs/>
                <w:color w:val="0B1F3A"/>
                <w:sz w:val="20"/>
                <w:szCs w:val="20"/>
              </w:rPr>
              <w:t xml:space="preserve">space-2</w:t>
            </w:r>
          </w:p>
        </w:tc>
        <w:tc>
          <w:tcPr>
            <w:tcW w:type="dxa" w:w="12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color w:val="1E293B"/>
                <w:sz w:val="20"/>
                <w:szCs w:val="20"/>
              </w:rPr>
              <w:t xml:space="preserve">8 px</w:t>
            </w:r>
          </w:p>
        </w:tc>
        <w:tc>
          <w:tcPr>
            <w:tcW w:type="dxa" w:w="676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alibri" w:cs="Calibri" w:eastAsia="Calibri" w:hAnsi="Calibri"/>
                <w:color w:val="1E293B"/>
                <w:sz w:val="20"/>
                <w:szCs w:val="20"/>
              </w:rPr>
              <w:t xml:space="preserve">Inside chips, between checkbox and label</w:t>
            </w:r>
          </w:p>
        </w:tc>
      </w:tr>
      <w:tr>
        <w:tc>
          <w:tcPr>
            <w:tcW w:type="dxa" w:w="14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b/>
                <w:bCs/>
                <w:color w:val="0B1F3A"/>
                <w:sz w:val="20"/>
                <w:szCs w:val="20"/>
              </w:rPr>
              <w:t xml:space="preserve">space-3</w:t>
            </w:r>
          </w:p>
        </w:tc>
        <w:tc>
          <w:tcPr>
            <w:tcW w:type="dxa" w:w="12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color w:val="1E293B"/>
                <w:sz w:val="20"/>
                <w:szCs w:val="20"/>
              </w:rPr>
              <w:t xml:space="preserve">12 px</w:t>
            </w:r>
          </w:p>
        </w:tc>
        <w:tc>
          <w:tcPr>
            <w:tcW w:type="dxa" w:w="676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alibri" w:cs="Calibri" w:eastAsia="Calibri" w:hAnsi="Calibri"/>
                <w:color w:val="1E293B"/>
                <w:sz w:val="20"/>
                <w:szCs w:val="20"/>
              </w:rPr>
              <w:t xml:space="preserve">Form-field internal padding (vertical)</w:t>
            </w:r>
          </w:p>
        </w:tc>
      </w:tr>
      <w:tr>
        <w:tc>
          <w:tcPr>
            <w:tcW w:type="dxa" w:w="14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b/>
                <w:bCs/>
                <w:color w:val="0B1F3A"/>
                <w:sz w:val="20"/>
                <w:szCs w:val="20"/>
              </w:rPr>
              <w:t xml:space="preserve">space-4</w:t>
            </w:r>
          </w:p>
        </w:tc>
        <w:tc>
          <w:tcPr>
            <w:tcW w:type="dxa" w:w="12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color w:val="1E293B"/>
                <w:sz w:val="20"/>
                <w:szCs w:val="20"/>
              </w:rPr>
              <w:t xml:space="preserve">16 px</w:t>
            </w:r>
          </w:p>
        </w:tc>
        <w:tc>
          <w:tcPr>
            <w:tcW w:type="dxa" w:w="676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alibri" w:cs="Calibri" w:eastAsia="Calibri" w:hAnsi="Calibri"/>
                <w:color w:val="1E293B"/>
                <w:sz w:val="20"/>
                <w:szCs w:val="20"/>
              </w:rPr>
              <w:t xml:space="preserve">Default card padding, gap between rows</w:t>
            </w:r>
          </w:p>
        </w:tc>
      </w:tr>
      <w:tr>
        <w:tc>
          <w:tcPr>
            <w:tcW w:type="dxa" w:w="14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b/>
                <w:bCs/>
                <w:color w:val="0B1F3A"/>
                <w:sz w:val="20"/>
                <w:szCs w:val="20"/>
              </w:rPr>
              <w:t xml:space="preserve">space-5</w:t>
            </w:r>
          </w:p>
        </w:tc>
        <w:tc>
          <w:tcPr>
            <w:tcW w:type="dxa" w:w="12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color w:val="1E293B"/>
                <w:sz w:val="20"/>
                <w:szCs w:val="20"/>
              </w:rPr>
              <w:t xml:space="preserve">24 px</w:t>
            </w:r>
          </w:p>
        </w:tc>
        <w:tc>
          <w:tcPr>
            <w:tcW w:type="dxa" w:w="676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alibri" w:cs="Calibri" w:eastAsia="Calibri" w:hAnsi="Calibri"/>
                <w:color w:val="1E293B"/>
                <w:sz w:val="20"/>
                <w:szCs w:val="20"/>
              </w:rPr>
              <w:t xml:space="preserve">Card-to-card gap, gutter between grid columns</w:t>
            </w:r>
          </w:p>
        </w:tc>
      </w:tr>
      <w:tr>
        <w:tc>
          <w:tcPr>
            <w:tcW w:type="dxa" w:w="14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b/>
                <w:bCs/>
                <w:color w:val="0B1F3A"/>
                <w:sz w:val="20"/>
                <w:szCs w:val="20"/>
              </w:rPr>
              <w:t xml:space="preserve">space-6</w:t>
            </w:r>
          </w:p>
        </w:tc>
        <w:tc>
          <w:tcPr>
            <w:tcW w:type="dxa" w:w="12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color w:val="1E293B"/>
                <w:sz w:val="20"/>
                <w:szCs w:val="20"/>
              </w:rPr>
              <w:t xml:space="preserve">32 px</w:t>
            </w:r>
          </w:p>
        </w:tc>
        <w:tc>
          <w:tcPr>
            <w:tcW w:type="dxa" w:w="676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alibri" w:cs="Calibri" w:eastAsia="Calibri" w:hAnsi="Calibri"/>
                <w:color w:val="1E293B"/>
                <w:sz w:val="20"/>
                <w:szCs w:val="20"/>
              </w:rPr>
              <w:t xml:space="preserve">Section padding inside major panels</w:t>
            </w:r>
          </w:p>
        </w:tc>
      </w:tr>
      <w:tr>
        <w:tc>
          <w:tcPr>
            <w:tcW w:type="dxa" w:w="14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b/>
                <w:bCs/>
                <w:color w:val="0B1F3A"/>
                <w:sz w:val="20"/>
                <w:szCs w:val="20"/>
              </w:rPr>
              <w:t xml:space="preserve">space-7</w:t>
            </w:r>
          </w:p>
        </w:tc>
        <w:tc>
          <w:tcPr>
            <w:tcW w:type="dxa" w:w="12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color w:val="1E293B"/>
                <w:sz w:val="20"/>
                <w:szCs w:val="20"/>
              </w:rPr>
              <w:t xml:space="preserve">48 px</w:t>
            </w:r>
          </w:p>
        </w:tc>
        <w:tc>
          <w:tcPr>
            <w:tcW w:type="dxa" w:w="676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alibri" w:cs="Calibri" w:eastAsia="Calibri" w:hAnsi="Calibri"/>
                <w:color w:val="1E293B"/>
                <w:sz w:val="20"/>
                <w:szCs w:val="20"/>
              </w:rPr>
              <w:t xml:space="preserve">Vertical rhythm between page sections</w:t>
            </w:r>
          </w:p>
        </w:tc>
      </w:tr>
      <w:tr>
        <w:tc>
          <w:tcPr>
            <w:tcW w:type="dxa" w:w="14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b/>
                <w:bCs/>
                <w:color w:val="0B1F3A"/>
                <w:sz w:val="20"/>
                <w:szCs w:val="20"/>
              </w:rPr>
              <w:t xml:space="preserve">space-8</w:t>
            </w:r>
          </w:p>
        </w:tc>
        <w:tc>
          <w:tcPr>
            <w:tcW w:type="dxa" w:w="120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onsolas" w:cs="Consolas" w:eastAsia="Consolas" w:hAnsi="Consolas"/>
                <w:color w:val="1E293B"/>
                <w:sz w:val="20"/>
                <w:szCs w:val="20"/>
              </w:rPr>
              <w:t xml:space="preserve">64 px</w:t>
            </w:r>
          </w:p>
        </w:tc>
        <w:tc>
          <w:tcPr>
            <w:tcW w:type="dxa" w:w="6760"/>
            <w:tcBorders>
              <w:top w:val="none" w:color="FFFFFF" w:sz="0"/>
              <w:left w:val="none" w:color="FFFFFF" w:sz="0"/>
              <w:bottom w:val="single" w:color="D8D4CB" w:sz="4"/>
              <w:right w:val="none" w:color="FFFFFF" w:sz="0"/>
            </w:tcBorders>
            <w:tcMar>
              <w:top w:type="dxa" w:w="100"/>
              <w:left w:type="dxa" w:w="120"/>
              <w:bottom w:type="dxa" w:w="100"/>
              <w:right w:type="dxa" w:w="80"/>
            </w:tcMar>
          </w:tcPr>
          <w:p>
            <w:r>
              <w:rPr>
                <w:rFonts w:ascii="Calibri" w:cs="Calibri" w:eastAsia="Calibri" w:hAnsi="Calibri"/>
                <w:color w:val="1E293B"/>
                <w:sz w:val="20"/>
                <w:szCs w:val="20"/>
              </w:rPr>
              <w:t xml:space="preserve">Top-of-page padding, hero spacing in marketing surfaces only</w:t>
            </w:r>
          </w:p>
        </w:tc>
      </w:tr>
    </w:tbl>
    <w:p>
      <w:pPr>
        <w:spacing w:after="160"/>
      </w:pPr>
      <w:r>
        <w:t xml:space="preserve"/>
      </w:r>
    </w:p>
    <w:p>
      <w:pPr>
        <w:pStyle w:val="Heading3"/>
        <w:spacing w:after="80" w:before="200"/>
      </w:pPr>
      <w:r>
        <w:rPr>
          <w:rFonts w:ascii="Calibri" w:cs="Calibri" w:eastAsia="Calibri" w:hAnsi="Calibri"/>
          <w:b/>
          <w:bCs/>
          <w:caps/>
          <w:color w:val="3F4750"/>
          <w:spacing w:val="30"/>
          <w:sz w:val="22"/>
          <w:szCs w:val="22"/>
        </w:rPr>
        <w:t xml:space="preserve">Page architecture</w:t>
      </w:r>
    </w:p>
    <w:p>
      <w:pPr>
        <w:spacing w:after="140" w:before="0" w:line="320"/>
      </w:pPr>
      <w:r>
        <w:rPr>
          <w:rFonts w:ascii="Calibri" w:cs="Calibri" w:eastAsia="Calibri" w:hAnsi="Calibri"/>
          <w:color w:val="1E293B"/>
          <w:sz w:val="22"/>
          <w:szCs w:val="22"/>
        </w:rPr>
        <w:t xml:space="preserve">Every dashboard screen uses the same three-zone composition: a fixed 240px left rail, a 56px top utility bar, and a fluid working canvas. The canvas is constrained to 1440px max-width on extra-wide displays and centered with equal Warm Ivory margins.</w:t>
      </w:r>
    </w:p>
    <w:p>
      <w:pPr>
        <w:pStyle w:val="ListParagraph"/>
        <w:numPr>
          <w:ilvl w:val="0"/>
          <w:numId w:val="2"/>
        </w:numPr>
        <w:spacing w:after="100" w:line="300"/>
      </w:pPr>
      <w:r>
        <w:rPr>
          <w:rFonts w:ascii="Calibri" w:cs="Calibri" w:eastAsia="Calibri" w:hAnsi="Calibri"/>
          <w:b/>
          <w:bCs/>
          <w:color w:val="0B1F3A"/>
          <w:sz w:val="22"/>
          <w:szCs w:val="22"/>
        </w:rPr>
        <w:t xml:space="preserve">Left rail</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240px, Soft Stone 100 fill, Stone 300 right-edge border. Holds the workspace switcher, primary nav, and a pinned "Active quote" summary at the bottom.</w:t>
      </w:r>
    </w:p>
    <w:p>
      <w:pPr>
        <w:pStyle w:val="ListParagraph"/>
        <w:numPr>
          <w:ilvl w:val="0"/>
          <w:numId w:val="2"/>
        </w:numPr>
        <w:spacing w:after="100" w:line="300"/>
      </w:pPr>
      <w:r>
        <w:rPr>
          <w:rFonts w:ascii="Calibri" w:cs="Calibri" w:eastAsia="Calibri" w:hAnsi="Calibri"/>
          <w:b/>
          <w:bCs/>
          <w:color w:val="0B1F3A"/>
          <w:sz w:val="22"/>
          <w:szCs w:val="22"/>
        </w:rPr>
        <w:t xml:space="preserve">Top utility bar</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56px, Warm Ivory fill, hairline bottom border. Holds breadcrumbs on the left, search at center, and the agent's profile chip on the right. No logo here — the logo lives in the rail.</w:t>
      </w:r>
    </w:p>
    <w:p>
      <w:pPr>
        <w:pStyle w:val="ListParagraph"/>
        <w:numPr>
          <w:ilvl w:val="0"/>
          <w:numId w:val="2"/>
        </w:numPr>
        <w:spacing w:after="100" w:line="300"/>
      </w:pPr>
      <w:r>
        <w:rPr>
          <w:rFonts w:ascii="Calibri" w:cs="Calibri" w:eastAsia="Calibri" w:hAnsi="Calibri"/>
          <w:b/>
          <w:bCs/>
          <w:color w:val="0B1F3A"/>
          <w:sz w:val="22"/>
          <w:szCs w:val="22"/>
        </w:rPr>
        <w:t xml:space="preserve">Working canvas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16px outer padding, 24px gutters between cards. Cards span the 12-column grid in 4-, 6-, 8-, or 12-column widths. Avoid odd spans (3, 5, 7) — they fragment the rhythm.</w:t>
      </w:r>
    </w:p>
    <w:p>
      <w:pPr>
        <w:spacing w:after="120"/>
      </w:pPr>
      <w:r>
        <w:t xml:space="preserve"/>
      </w:r>
    </w:p>
    <w:p>
      <w:pPr>
        <w:pStyle w:val="Heading3"/>
        <w:spacing w:after="80" w:before="200"/>
      </w:pPr>
      <w:r>
        <w:rPr>
          <w:rFonts w:ascii="Calibri" w:cs="Calibri" w:eastAsia="Calibri" w:hAnsi="Calibri"/>
          <w:b/>
          <w:bCs/>
          <w:caps/>
          <w:color w:val="3F4750"/>
          <w:spacing w:val="30"/>
          <w:sz w:val="22"/>
          <w:szCs w:val="22"/>
        </w:rPr>
        <w:t xml:space="preserve">Card pattern</w:t>
      </w:r>
    </w:p>
    <w:p>
      <w:pPr>
        <w:spacing w:after="140" w:before="0" w:line="320"/>
      </w:pPr>
      <w:r>
        <w:rPr>
          <w:rFonts w:ascii="Calibri" w:cs="Calibri" w:eastAsia="Calibri" w:hAnsi="Calibri"/>
          <w:color w:val="1E293B"/>
          <w:sz w:val="22"/>
          <w:szCs w:val="22"/>
        </w:rPr>
        <w:t xml:space="preserve">The card is the atomic unit of the dashboard. Every quote, comparison, chart, and table lives inside one. The pattern is intentionally plain — its job is to recede.</w:t>
      </w:r>
    </w:p>
    <w:p>
      <w:pPr>
        <w:pStyle w:val="ListParagraph"/>
        <w:numPr>
          <w:ilvl w:val="0"/>
          <w:numId w:val="2"/>
        </w:numPr>
        <w:spacing w:after="100" w:line="300"/>
      </w:pPr>
      <w:r>
        <w:rPr>
          <w:rFonts w:ascii="Calibri" w:cs="Calibri" w:eastAsia="Calibri" w:hAnsi="Calibri"/>
          <w:b/>
          <w:bCs/>
          <w:color w:val="0B1F3A"/>
          <w:sz w:val="22"/>
          <w:szCs w:val="22"/>
        </w:rPr>
        <w:t xml:space="preserve">Surface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Pure White (#FFFFFF) inside the card on a Warm Ivory page — the only place we use pure white.</w:t>
      </w:r>
    </w:p>
    <w:p>
      <w:pPr>
        <w:pStyle w:val="ListParagraph"/>
        <w:numPr>
          <w:ilvl w:val="0"/>
          <w:numId w:val="2"/>
        </w:numPr>
        <w:spacing w:after="100" w:line="300"/>
      </w:pPr>
      <w:r>
        <w:rPr>
          <w:rFonts w:ascii="Calibri" w:cs="Calibri" w:eastAsia="Calibri" w:hAnsi="Calibri"/>
          <w:b/>
          <w:bCs/>
          <w:color w:val="0B1F3A"/>
          <w:sz w:val="22"/>
          <w:szCs w:val="22"/>
        </w:rPr>
        <w:t xml:space="preserve">Border</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1px Stone 300 on all four sides. No shadow on resting state. On hover, swap the border to Midnight Navy at 40% opacity. No lift, no scale.</w:t>
      </w:r>
    </w:p>
    <w:p>
      <w:pPr>
        <w:pStyle w:val="ListParagraph"/>
        <w:numPr>
          <w:ilvl w:val="0"/>
          <w:numId w:val="2"/>
        </w:numPr>
        <w:spacing w:after="100" w:line="300"/>
      </w:pPr>
      <w:r>
        <w:rPr>
          <w:rFonts w:ascii="Calibri" w:cs="Calibri" w:eastAsia="Calibri" w:hAnsi="Calibri"/>
          <w:b/>
          <w:bCs/>
          <w:color w:val="0B1F3A"/>
          <w:sz w:val="22"/>
          <w:szCs w:val="22"/>
        </w:rPr>
        <w:t xml:space="preserve">Radius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4px. This is the only radius value used anywhere in the system. Buttons, inputs, cards, modals — all 4px.</w:t>
      </w:r>
    </w:p>
    <w:p>
      <w:pPr>
        <w:pStyle w:val="ListParagraph"/>
        <w:numPr>
          <w:ilvl w:val="0"/>
          <w:numId w:val="2"/>
        </w:numPr>
        <w:spacing w:after="100" w:line="300"/>
      </w:pPr>
      <w:r>
        <w:rPr>
          <w:rFonts w:ascii="Calibri" w:cs="Calibri" w:eastAsia="Calibri" w:hAnsi="Calibri"/>
          <w:b/>
          <w:bCs/>
          <w:color w:val="0B1F3A"/>
          <w:sz w:val="22"/>
          <w:szCs w:val="22"/>
        </w:rPr>
        <w:t xml:space="preserve">Padding</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space-5 (24px) standard. space-4 (16px) for dense data tables. space-6 (32px) for empty states.</w:t>
      </w:r>
    </w:p>
    <w:p>
      <w:pPr>
        <w:pStyle w:val="ListParagraph"/>
        <w:numPr>
          <w:ilvl w:val="0"/>
          <w:numId w:val="2"/>
        </w:numPr>
        <w:spacing w:after="100" w:line="300"/>
      </w:pPr>
      <w:r>
        <w:rPr>
          <w:rFonts w:ascii="Calibri" w:cs="Calibri" w:eastAsia="Calibri" w:hAnsi="Calibri"/>
          <w:b/>
          <w:bCs/>
          <w:color w:val="0B1F3A"/>
          <w:sz w:val="22"/>
          <w:szCs w:val="22"/>
        </w:rPr>
        <w:t xml:space="preserve">Header</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H3 eyebrow at top-left. Optional inline metadata at top-right (e.g., "Updated 2 min ago") in Caption / Graphite.</w:t>
      </w:r>
    </w:p>
    <w:p>
      <w:r>
        <w:br w:type="page"/>
      </w:r>
    </w:p>
    <w:p>
      <w:pPr>
        <w:spacing w:after="60" w:before="60"/>
      </w:pPr>
      <w:r>
        <w:rPr>
          <w:rFonts w:ascii="Calibri" w:cs="Calibri" w:eastAsia="Calibri" w:hAnsi="Calibri"/>
          <w:b/>
          <w:bCs/>
          <w:caps/>
          <w:color w:val="B8945A"/>
          <w:spacing w:val="60"/>
          <w:sz w:val="16"/>
          <w:szCs w:val="16"/>
        </w:rPr>
        <w:t xml:space="preserve">05 — Components</w:t>
      </w:r>
    </w:p>
    <w:p>
      <w:pPr>
        <w:pStyle w:val="Heading1"/>
        <w:pBdr>
          <w:bottom w:val="single" w:color="0B1F3A" w:sz="8" w:space="4"/>
        </w:pBdr>
        <w:spacing w:after="200" w:before="360"/>
      </w:pPr>
      <w:r>
        <w:rPr>
          <w:rFonts w:ascii="Cambria" w:cs="Cambria" w:eastAsia="Cambria" w:hAnsi="Cambria"/>
          <w:b/>
          <w:bCs/>
          <w:color w:val="0B1F3A"/>
          <w:sz w:val="40"/>
          <w:szCs w:val="40"/>
        </w:rPr>
        <w:t xml:space="preserve">Core Component Patterns</w:t>
      </w:r>
    </w:p>
    <w:p>
      <w:pPr>
        <w:spacing w:after="200" w:before="80" w:line="340"/>
      </w:pPr>
      <w:r>
        <w:rPr>
          <w:rFonts w:ascii="Cambria" w:cs="Cambria" w:eastAsia="Cambria" w:hAnsi="Cambria"/>
          <w:i/>
          <w:iCs/>
          <w:color w:val="3F4750"/>
          <w:sz w:val="26"/>
          <w:szCs w:val="26"/>
        </w:rPr>
        <w:t xml:space="preserve">Three components do most of the work in this dashboard: the quote calculator, the policy comparison cards, and the coverage chart. Specify these three carefully and the rest of the system falls out for free.</w:t>
      </w:r>
    </w:p>
    <w:p>
      <w:pPr>
        <w:pStyle w:val="Heading3"/>
        <w:spacing w:after="80" w:before="200"/>
      </w:pPr>
      <w:r>
        <w:rPr>
          <w:rFonts w:ascii="Calibri" w:cs="Calibri" w:eastAsia="Calibri" w:hAnsi="Calibri"/>
          <w:b/>
          <w:bCs/>
          <w:caps/>
          <w:color w:val="3F4750"/>
          <w:spacing w:val="30"/>
          <w:sz w:val="22"/>
          <w:szCs w:val="22"/>
        </w:rPr>
        <w:t xml:space="preserve">A. Quote / pricing calculator</w:t>
      </w:r>
    </w:p>
    <w:p>
      <w:pPr>
        <w:spacing w:after="140" w:before="0" w:line="320"/>
      </w:pPr>
      <w:r>
        <w:rPr>
          <w:rFonts w:ascii="Calibri" w:cs="Calibri" w:eastAsia="Calibri" w:hAnsi="Calibri"/>
          <w:color w:val="1E293B"/>
          <w:sz w:val="22"/>
          <w:szCs w:val="22"/>
        </w:rPr>
        <w:t xml:space="preserve">The calculator is the entry surface for most customer sessions. Inputs on the left, live premium on the right. Premium updates without a "Calculate" button — every change re-prices instantly with a 400ms ease-out tween on the number.</w:t>
      </w:r>
    </w:p>
    <w:p>
      <w:pPr>
        <w:pStyle w:val="ListParagraph"/>
        <w:numPr>
          <w:ilvl w:val="0"/>
          <w:numId w:val="2"/>
        </w:numPr>
        <w:spacing w:after="100" w:line="300"/>
      </w:pPr>
      <w:r>
        <w:rPr>
          <w:rFonts w:ascii="Calibri" w:cs="Calibri" w:eastAsia="Calibri" w:hAnsi="Calibri"/>
          <w:b/>
          <w:bCs/>
          <w:color w:val="0B1F3A"/>
          <w:sz w:val="22"/>
          <w:szCs w:val="22"/>
        </w:rPr>
        <w:t xml:space="preserve">Layout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Two-pane card spanning 12 columns. Left pane (7 cols) holds inputs in a single vertical stack. Right pane (5 cols) holds the live premium readout, plan tier, and a "View comparison" outline button.</w:t>
      </w:r>
    </w:p>
    <w:p>
      <w:pPr>
        <w:pStyle w:val="ListParagraph"/>
        <w:numPr>
          <w:ilvl w:val="0"/>
          <w:numId w:val="2"/>
        </w:numPr>
        <w:spacing w:after="100" w:line="300"/>
      </w:pPr>
      <w:r>
        <w:rPr>
          <w:rFonts w:ascii="Calibri" w:cs="Calibri" w:eastAsia="Calibri" w:hAnsi="Calibri"/>
          <w:b/>
          <w:bCs/>
          <w:color w:val="0B1F3A"/>
          <w:sz w:val="22"/>
          <w:szCs w:val="22"/>
        </w:rPr>
        <w:t xml:space="preserve">Inputs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Stacked, full-width, with the ALL-CAPS form label above each field. Field height 40px, 1px Stone 300 border, 4px radius. Focus ring is 2px Midnight Navy outset, no glow.</w:t>
      </w:r>
    </w:p>
    <w:p>
      <w:pPr>
        <w:pStyle w:val="ListParagraph"/>
        <w:numPr>
          <w:ilvl w:val="0"/>
          <w:numId w:val="2"/>
        </w:numPr>
        <w:spacing w:after="100" w:line="300"/>
      </w:pPr>
      <w:r>
        <w:rPr>
          <w:rFonts w:ascii="Calibri" w:cs="Calibri" w:eastAsia="Calibri" w:hAnsi="Calibri"/>
          <w:b/>
          <w:bCs/>
          <w:color w:val="0B1F3A"/>
          <w:sz w:val="22"/>
          <w:szCs w:val="22"/>
        </w:rPr>
        <w:t xml:space="preserve">Sliders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For coverage amount and term length, use a horizontal slider with a Midnight Navy fill and a Heritage Green thumb. Show min/max anchors and the live value as JetBrains Mono numerals above the thumb.</w:t>
      </w:r>
    </w:p>
    <w:p>
      <w:pPr>
        <w:pStyle w:val="ListParagraph"/>
        <w:numPr>
          <w:ilvl w:val="0"/>
          <w:numId w:val="2"/>
        </w:numPr>
        <w:spacing w:after="100" w:line="300"/>
      </w:pPr>
      <w:r>
        <w:rPr>
          <w:rFonts w:ascii="Calibri" w:cs="Calibri" w:eastAsia="Calibri" w:hAnsi="Calibri"/>
          <w:b/>
          <w:bCs/>
          <w:color w:val="0B1F3A"/>
          <w:sz w:val="22"/>
          <w:szCs w:val="22"/>
        </w:rPr>
        <w:t xml:space="preserve">Premium readout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Numeric Hero (44pt) in Midnight Navy, with a small "/ month" Caption in Graphite to the right. Below it: the same value annualized in Caption, plus a one-line plan summary in Body.</w:t>
      </w:r>
    </w:p>
    <w:p>
      <w:pPr>
        <w:pStyle w:val="ListParagraph"/>
        <w:numPr>
          <w:ilvl w:val="0"/>
          <w:numId w:val="2"/>
        </w:numPr>
        <w:spacing w:after="100" w:line="300"/>
      </w:pPr>
      <w:r>
        <w:rPr>
          <w:rFonts w:ascii="Calibri" w:cs="Calibri" w:eastAsia="Calibri" w:hAnsi="Calibri"/>
          <w:b/>
          <w:bCs/>
          <w:color w:val="0B1F3A"/>
          <w:sz w:val="22"/>
          <w:szCs w:val="22"/>
        </w:rPr>
        <w:t xml:space="preserve">Plan tier badge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 small chip directly under the premium: Heritage Green fill if Recommended, Stone 200 fill otherwise. Never gold — gold is for true premium-tier offerings only.</w:t>
      </w:r>
    </w:p>
    <w:p>
      <w:pPr>
        <w:spacing w:after="120"/>
      </w:pPr>
      <w:r>
        <w:t xml:space="preserve"/>
      </w:r>
    </w:p>
    <w:p>
      <w:pPr>
        <w:pStyle w:val="Heading3"/>
        <w:spacing w:after="80" w:before="200"/>
      </w:pPr>
      <w:r>
        <w:rPr>
          <w:rFonts w:ascii="Calibri" w:cs="Calibri" w:eastAsia="Calibri" w:hAnsi="Calibri"/>
          <w:b/>
          <w:bCs/>
          <w:caps/>
          <w:color w:val="3F4750"/>
          <w:spacing w:val="30"/>
          <w:sz w:val="22"/>
          <w:szCs w:val="22"/>
        </w:rPr>
        <w:t xml:space="preserve">B. Policy comparison cards</w:t>
      </w:r>
    </w:p>
    <w:p>
      <w:pPr>
        <w:spacing w:after="140" w:before="0" w:line="320"/>
      </w:pPr>
      <w:r>
        <w:rPr>
          <w:rFonts w:ascii="Calibri" w:cs="Calibri" w:eastAsia="Calibri" w:hAnsi="Calibri"/>
          <w:color w:val="1E293B"/>
          <w:sz w:val="22"/>
          <w:szCs w:val="22"/>
        </w:rPr>
        <w:t xml:space="preserve">Three cards in a row, equal width (4 columns each). The recommended plan is visually elevated, but elevation is achieved through ink, not lift.</w:t>
      </w:r>
    </w:p>
    <w:p>
      <w:pPr>
        <w:pStyle w:val="ListParagraph"/>
        <w:numPr>
          <w:ilvl w:val="0"/>
          <w:numId w:val="2"/>
        </w:numPr>
        <w:spacing w:after="100" w:line="300"/>
      </w:pPr>
      <w:r>
        <w:rPr>
          <w:rFonts w:ascii="Calibri" w:cs="Calibri" w:eastAsia="Calibri" w:hAnsi="Calibri"/>
          <w:b/>
          <w:bCs/>
          <w:color w:val="0B1F3A"/>
          <w:sz w:val="22"/>
          <w:szCs w:val="22"/>
        </w:rPr>
        <w:t xml:space="preserve">Recommended treatment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Replace the Stone 300 border with a 2px Heritage Green border. Add a Heritage Green ribbon at the top-left corner with the word "RECOMMENDED" in Caption / White. Do not change the card's height or position.</w:t>
      </w:r>
    </w:p>
    <w:p>
      <w:pPr>
        <w:pStyle w:val="ListParagraph"/>
        <w:numPr>
          <w:ilvl w:val="0"/>
          <w:numId w:val="2"/>
        </w:numPr>
        <w:spacing w:after="100" w:line="300"/>
      </w:pPr>
      <w:r>
        <w:rPr>
          <w:rFonts w:ascii="Calibri" w:cs="Calibri" w:eastAsia="Calibri" w:hAnsi="Calibri"/>
          <w:b/>
          <w:bCs/>
          <w:color w:val="0B1F3A"/>
          <w:sz w:val="22"/>
          <w:szCs w:val="22"/>
        </w:rPr>
        <w:t xml:space="preserve">Card structure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Plan name (H2), monthly premium (Numeric Hero), term length &amp; coverage amount (two stacked Body / Strong rows), feature list (six items max, with Heritage Green check or Graphite dash), and a single primary button at the bottom.</w:t>
      </w:r>
    </w:p>
    <w:p>
      <w:pPr>
        <w:pStyle w:val="ListParagraph"/>
        <w:numPr>
          <w:ilvl w:val="0"/>
          <w:numId w:val="2"/>
        </w:numPr>
        <w:spacing w:after="100" w:line="300"/>
      </w:pPr>
      <w:r>
        <w:rPr>
          <w:rFonts w:ascii="Calibri" w:cs="Calibri" w:eastAsia="Calibri" w:hAnsi="Calibri"/>
          <w:b/>
          <w:bCs/>
          <w:color w:val="0B1F3A"/>
          <w:sz w:val="22"/>
          <w:szCs w:val="22"/>
        </w:rPr>
        <w:t xml:space="preserve">Comparison row</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Below the three cards, optionally render a comparison table with one row per attribute (Death benefit, Cash value, Premium guarantee, Issue ages, Riders included). This is where customers do their actual analysis — the cards above sell, the table below confirms.</w:t>
      </w:r>
    </w:p>
    <w:p>
      <w:pPr>
        <w:pStyle w:val="ListParagraph"/>
        <w:numPr>
          <w:ilvl w:val="0"/>
          <w:numId w:val="2"/>
        </w:numPr>
        <w:spacing w:after="100" w:line="300"/>
      </w:pPr>
      <w:r>
        <w:rPr>
          <w:rFonts w:ascii="Calibri" w:cs="Calibri" w:eastAsia="Calibri" w:hAnsi="Calibri"/>
          <w:b/>
          <w:bCs/>
          <w:color w:val="0B1F3A"/>
          <w:sz w:val="22"/>
          <w:szCs w:val="22"/>
        </w:rPr>
        <w:t xml:space="preserve">Buttons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Primary on the recommended card is Midnight Navy fill, white text. Primary on the other two cards is white fill, Midnight Navy text, 1px Midnight Navy border. Same shape, different ink — no "ghost" button confusion.</w:t>
      </w:r>
    </w:p>
    <w:p>
      <w:pPr>
        <w:spacing w:after="120"/>
      </w:pPr>
      <w:r>
        <w:t xml:space="preserve"/>
      </w:r>
    </w:p>
    <w:p>
      <w:pPr>
        <w:pStyle w:val="Heading3"/>
        <w:spacing w:after="80" w:before="200"/>
      </w:pPr>
      <w:r>
        <w:rPr>
          <w:rFonts w:ascii="Calibri" w:cs="Calibri" w:eastAsia="Calibri" w:hAnsi="Calibri"/>
          <w:b/>
          <w:bCs/>
          <w:caps/>
          <w:color w:val="3F4750"/>
          <w:spacing w:val="30"/>
          <w:sz w:val="22"/>
          <w:szCs w:val="22"/>
        </w:rPr>
        <w:t xml:space="preserve">C. Coverage visualization</w:t>
      </w:r>
    </w:p>
    <w:p>
      <w:pPr>
        <w:spacing w:after="140" w:before="0" w:line="320"/>
      </w:pPr>
      <w:r>
        <w:rPr>
          <w:rFonts w:ascii="Calibri" w:cs="Calibri" w:eastAsia="Calibri" w:hAnsi="Calibri"/>
          <w:color w:val="1E293B"/>
          <w:sz w:val="22"/>
          <w:szCs w:val="22"/>
        </w:rPr>
        <w:t xml:space="preserve">A horizon chart showing coverage amount on the y-axis and policy years on the x-axis. The customer needs to see two things at once: the shape of their coverage over time, and the moments when premiums step up.</w:t>
      </w:r>
    </w:p>
    <w:p>
      <w:pPr>
        <w:pStyle w:val="ListParagraph"/>
        <w:numPr>
          <w:ilvl w:val="0"/>
          <w:numId w:val="2"/>
        </w:numPr>
        <w:spacing w:after="100" w:line="300"/>
      </w:pPr>
      <w:r>
        <w:rPr>
          <w:rFonts w:ascii="Calibri" w:cs="Calibri" w:eastAsia="Calibri" w:hAnsi="Calibri"/>
          <w:b/>
          <w:bCs/>
          <w:color w:val="0B1F3A"/>
          <w:sz w:val="22"/>
          <w:szCs w:val="22"/>
        </w:rPr>
        <w:t xml:space="preserve">Chart type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Stepped area chart. The fill is Heritage Green at 12% opacity over the covered years, with a 2px Heritage Green stroke on top. Premium-step markers are 6px Midnight Navy circles on the line at each step year.</w:t>
      </w:r>
    </w:p>
    <w:p>
      <w:pPr>
        <w:pStyle w:val="ListParagraph"/>
        <w:numPr>
          <w:ilvl w:val="0"/>
          <w:numId w:val="2"/>
        </w:numPr>
        <w:spacing w:after="100" w:line="300"/>
      </w:pPr>
      <w:r>
        <w:rPr>
          <w:rFonts w:ascii="Calibri" w:cs="Calibri" w:eastAsia="Calibri" w:hAnsi="Calibri"/>
          <w:b/>
          <w:bCs/>
          <w:color w:val="0B1F3A"/>
          <w:sz w:val="22"/>
          <w:szCs w:val="22"/>
        </w:rPr>
        <w:t xml:space="preserve">Axes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X-axis: years 0 to term-end, ticks every 5 years. Y-axis: coverage amount, four gridlines max, in Stone 200 hairline. Axis labels in Caption / Graphite.</w:t>
      </w:r>
    </w:p>
    <w:p>
      <w:pPr>
        <w:pStyle w:val="ListParagraph"/>
        <w:numPr>
          <w:ilvl w:val="0"/>
          <w:numId w:val="2"/>
        </w:numPr>
        <w:spacing w:after="100" w:line="300"/>
      </w:pPr>
      <w:r>
        <w:rPr>
          <w:rFonts w:ascii="Calibri" w:cs="Calibri" w:eastAsia="Calibri" w:hAnsi="Calibri"/>
          <w:b/>
          <w:bCs/>
          <w:color w:val="0B1F3A"/>
          <w:sz w:val="22"/>
          <w:szCs w:val="22"/>
        </w:rPr>
        <w:t xml:space="preserve">Annotations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Hover state reveals a vertical Midnight Navy guide rule and a small floating tooltip with year, coverage amount, and current monthly premium. Tooltip is white-fill, 1px Stone 300 border, 4px radius — same as cards.</w:t>
      </w:r>
    </w:p>
    <w:p>
      <w:pPr>
        <w:pStyle w:val="ListParagraph"/>
        <w:numPr>
          <w:ilvl w:val="0"/>
          <w:numId w:val="2"/>
        </w:numPr>
        <w:spacing w:after="100" w:line="300"/>
      </w:pPr>
      <w:r>
        <w:rPr>
          <w:rFonts w:ascii="Calibri" w:cs="Calibri" w:eastAsia="Calibri" w:hAnsi="Calibri"/>
          <w:b/>
          <w:bCs/>
          <w:color w:val="0B1F3A"/>
          <w:sz w:val="22"/>
          <w:szCs w:val="22"/>
        </w:rPr>
        <w:t xml:space="preserve">Beneficiary scenario overlay</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Optional second series rendered as a Burnished Gold dashed line — "What your beneficiaries receive at year X." Toggle on/off via a small Caption-sized switch above the chart.</w:t>
      </w:r>
    </w:p>
    <w:p>
      <w:pPr>
        <w:spacing w:after="120"/>
      </w:pPr>
      <w:r>
        <w:t xml:space="preserve"/>
      </w:r>
    </w:p>
    <w:p>
      <w:pPr>
        <w:pStyle w:val="Heading3"/>
        <w:spacing w:after="80" w:before="200"/>
      </w:pPr>
      <w:r>
        <w:rPr>
          <w:rFonts w:ascii="Calibri" w:cs="Calibri" w:eastAsia="Calibri" w:hAnsi="Calibri"/>
          <w:b/>
          <w:bCs/>
          <w:caps/>
          <w:color w:val="3F4750"/>
          <w:spacing w:val="30"/>
          <w:sz w:val="22"/>
          <w:szCs w:val="22"/>
        </w:rPr>
        <w:t xml:space="preserve">Buttons, inputs, and chrome</w:t>
      </w:r>
    </w:p>
    <w:p>
      <w:pPr>
        <w:pStyle w:val="ListParagraph"/>
        <w:numPr>
          <w:ilvl w:val="0"/>
          <w:numId w:val="2"/>
        </w:numPr>
        <w:spacing w:after="100" w:line="300"/>
      </w:pPr>
      <w:r>
        <w:rPr>
          <w:rFonts w:ascii="Calibri" w:cs="Calibri" w:eastAsia="Calibri" w:hAnsi="Calibri"/>
          <w:b/>
          <w:bCs/>
          <w:color w:val="0B1F3A"/>
          <w:sz w:val="22"/>
          <w:szCs w:val="22"/>
        </w:rPr>
        <w:t xml:space="preserve">Primary button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Midnight Navy fill, white text, 4px radius, 40px tall, space-5 horizontal padding. Hover: navy darkens 10%. Active: navy darkens 18%. No shadow, ever.</w:t>
      </w:r>
    </w:p>
    <w:p>
      <w:pPr>
        <w:pStyle w:val="ListParagraph"/>
        <w:numPr>
          <w:ilvl w:val="0"/>
          <w:numId w:val="2"/>
        </w:numPr>
        <w:spacing w:after="100" w:line="300"/>
      </w:pPr>
      <w:r>
        <w:rPr>
          <w:rFonts w:ascii="Calibri" w:cs="Calibri" w:eastAsia="Calibri" w:hAnsi="Calibri"/>
          <w:b/>
          <w:bCs/>
          <w:color w:val="0B1F3A"/>
          <w:sz w:val="22"/>
          <w:szCs w:val="22"/>
        </w:rPr>
        <w:t xml:space="preserve">Secondary button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White fill, Midnight Navy text and 1px border. Hover: fill becomes Stone 100. Used for non-destructive secondary actions.</w:t>
      </w:r>
    </w:p>
    <w:p>
      <w:pPr>
        <w:pStyle w:val="ListParagraph"/>
        <w:numPr>
          <w:ilvl w:val="0"/>
          <w:numId w:val="2"/>
        </w:numPr>
        <w:spacing w:after="100" w:line="300"/>
      </w:pPr>
      <w:r>
        <w:rPr>
          <w:rFonts w:ascii="Calibri" w:cs="Calibri" w:eastAsia="Calibri" w:hAnsi="Calibri"/>
          <w:b/>
          <w:bCs/>
          <w:color w:val="0B1F3A"/>
          <w:sz w:val="22"/>
          <w:szCs w:val="22"/>
        </w:rPr>
        <w:t xml:space="preserve">Tertiary / link button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Midnight Navy text only, 1px underline that disappears on hover. Reserved for in-line actions inside paragraphs and table cells.</w:t>
      </w:r>
    </w:p>
    <w:p>
      <w:pPr>
        <w:pStyle w:val="ListParagraph"/>
        <w:numPr>
          <w:ilvl w:val="0"/>
          <w:numId w:val="2"/>
        </w:numPr>
        <w:spacing w:after="100" w:line="300"/>
      </w:pPr>
      <w:r>
        <w:rPr>
          <w:rFonts w:ascii="Calibri" w:cs="Calibri" w:eastAsia="Calibri" w:hAnsi="Calibri"/>
          <w:b/>
          <w:bCs/>
          <w:color w:val="0B1F3A"/>
          <w:sz w:val="22"/>
          <w:szCs w:val="22"/>
        </w:rPr>
        <w:t xml:space="preserve">Destructive button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Signal Red fill, white text. Used only in confirmation modals — never inline.</w:t>
      </w:r>
    </w:p>
    <w:p>
      <w:pPr>
        <w:pStyle w:val="ListParagraph"/>
        <w:numPr>
          <w:ilvl w:val="0"/>
          <w:numId w:val="2"/>
        </w:numPr>
        <w:spacing w:after="100" w:line="300"/>
      </w:pPr>
      <w:r>
        <w:rPr>
          <w:rFonts w:ascii="Calibri" w:cs="Calibri" w:eastAsia="Calibri" w:hAnsi="Calibri"/>
          <w:b/>
          <w:bCs/>
          <w:color w:val="0B1F3A"/>
          <w:sz w:val="22"/>
          <w:szCs w:val="22"/>
        </w:rPr>
        <w:t xml:space="preserve">Inputs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40px tall, 1px Stone 300, 4px radius, space-3 vertical padding, space-4 horizontal padding. Placeholder in Graphite. Helper text in Caption / Graphite below the field.</w:t>
      </w:r>
    </w:p>
    <w:p>
      <w:pPr>
        <w:pStyle w:val="ListParagraph"/>
        <w:numPr>
          <w:ilvl w:val="0"/>
          <w:numId w:val="2"/>
        </w:numPr>
        <w:spacing w:after="100" w:line="300"/>
      </w:pPr>
      <w:r>
        <w:rPr>
          <w:rFonts w:ascii="Calibri" w:cs="Calibri" w:eastAsia="Calibri" w:hAnsi="Calibri"/>
          <w:b/>
          <w:bCs/>
          <w:color w:val="0B1F3A"/>
          <w:sz w:val="22"/>
          <w:szCs w:val="22"/>
        </w:rPr>
        <w:t xml:space="preserve">Chips &amp; badges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24px tall, 4px radius, space-2 horizontal padding, Caption text. Stone 200 fill for neutral; Heritage Green at 15% opacity with Heritage Green text for positive; Signal Red at 12% opacity with Signal Red text for critical.</w:t>
      </w:r>
    </w:p>
    <w:p>
      <w:r>
        <w:br w:type="page"/>
      </w:r>
    </w:p>
    <w:p>
      <w:pPr>
        <w:spacing w:after="60" w:before="60"/>
      </w:pPr>
      <w:r>
        <w:rPr>
          <w:rFonts w:ascii="Calibri" w:cs="Calibri" w:eastAsia="Calibri" w:hAnsi="Calibri"/>
          <w:b/>
          <w:bCs/>
          <w:caps/>
          <w:color w:val="B8945A"/>
          <w:spacing w:val="60"/>
          <w:sz w:val="16"/>
          <w:szCs w:val="16"/>
        </w:rPr>
        <w:t xml:space="preserve">06 — Iconography &amp; imagery</w:t>
      </w:r>
    </w:p>
    <w:p>
      <w:pPr>
        <w:pStyle w:val="Heading1"/>
        <w:pBdr>
          <w:bottom w:val="single" w:color="0B1F3A" w:sz="8" w:space="4"/>
        </w:pBdr>
        <w:spacing w:after="200" w:before="360"/>
      </w:pPr>
      <w:r>
        <w:rPr>
          <w:rFonts w:ascii="Cambria" w:cs="Cambria" w:eastAsia="Cambria" w:hAnsi="Cambria"/>
          <w:b/>
          <w:bCs/>
          <w:color w:val="0B1F3A"/>
          <w:sz w:val="40"/>
          <w:szCs w:val="40"/>
        </w:rPr>
        <w:t xml:space="preserve">Icons &amp; Imagery</w:t>
      </w:r>
    </w:p>
    <w:p>
      <w:pPr>
        <w:spacing w:after="200" w:before="80" w:line="340"/>
      </w:pPr>
      <w:r>
        <w:rPr>
          <w:rFonts w:ascii="Cambria" w:cs="Cambria" w:eastAsia="Cambria" w:hAnsi="Cambria"/>
          <w:i/>
          <w:iCs/>
          <w:color w:val="3F4750"/>
          <w:sz w:val="26"/>
          <w:szCs w:val="26"/>
        </w:rPr>
        <w:t xml:space="preserve">Most of the dashboard has no imagery at all. When it does, it is restrained, monochrome, and engineered.</w:t>
      </w:r>
    </w:p>
    <w:p>
      <w:pPr>
        <w:pStyle w:val="Heading3"/>
        <w:spacing w:after="80" w:before="200"/>
      </w:pPr>
      <w:r>
        <w:rPr>
          <w:rFonts w:ascii="Calibri" w:cs="Calibri" w:eastAsia="Calibri" w:hAnsi="Calibri"/>
          <w:b/>
          <w:bCs/>
          <w:caps/>
          <w:color w:val="3F4750"/>
          <w:spacing w:val="30"/>
          <w:sz w:val="22"/>
          <w:szCs w:val="22"/>
        </w:rPr>
        <w:t xml:space="preserve">Icon library</w:t>
      </w:r>
    </w:p>
    <w:p>
      <w:pPr>
        <w:spacing w:after="140" w:before="0" w:line="320"/>
      </w:pPr>
      <w:r>
        <w:rPr>
          <w:rFonts w:ascii="Calibri" w:cs="Calibri" w:eastAsia="Calibri" w:hAnsi="Calibri"/>
          <w:color w:val="1E293B"/>
          <w:sz w:val="22"/>
          <w:szCs w:val="22"/>
        </w:rPr>
        <w:t xml:space="preserve">Use Phosphor Icons (Regular weight, 1.5px stroke) or Lucide as a fallback. Both are MIT-licensed. The dashboard uses one weight only — never mix Regular and Bold variants in the same view.</w:t>
      </w:r>
    </w:p>
    <w:p>
      <w:pPr>
        <w:pStyle w:val="ListParagraph"/>
        <w:numPr>
          <w:ilvl w:val="0"/>
          <w:numId w:val="2"/>
        </w:numPr>
        <w:spacing w:after="100" w:line="300"/>
      </w:pPr>
      <w:r>
        <w:rPr>
          <w:rFonts w:ascii="Calibri" w:cs="Calibri" w:eastAsia="Calibri" w:hAnsi="Calibri"/>
          <w:b/>
          <w:bCs/>
          <w:color w:val="0B1F3A"/>
          <w:sz w:val="22"/>
          <w:szCs w:val="22"/>
        </w:rPr>
        <w:t xml:space="preserve">Default size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16px in chrome, 20px in cards, 24px in empty states. No 18px or 22px — the scale matches the type scale.</w:t>
      </w:r>
    </w:p>
    <w:p>
      <w:pPr>
        <w:pStyle w:val="ListParagraph"/>
        <w:numPr>
          <w:ilvl w:val="0"/>
          <w:numId w:val="2"/>
        </w:numPr>
        <w:spacing w:after="100" w:line="300"/>
      </w:pPr>
      <w:r>
        <w:rPr>
          <w:rFonts w:ascii="Calibri" w:cs="Calibri" w:eastAsia="Calibri" w:hAnsi="Calibri"/>
          <w:b/>
          <w:bCs/>
          <w:color w:val="0B1F3A"/>
          <w:sz w:val="22"/>
          <w:szCs w:val="22"/>
        </w:rPr>
        <w:t xml:space="preserve">Default color</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Graphite for ambient icons, Midnight Navy for interactive icons (next to a clickable label), Heritage Green for positive status, Signal Red for critical.</w:t>
      </w:r>
    </w:p>
    <w:p>
      <w:pPr>
        <w:pStyle w:val="ListParagraph"/>
        <w:numPr>
          <w:ilvl w:val="0"/>
          <w:numId w:val="2"/>
        </w:numPr>
        <w:spacing w:after="100" w:line="300"/>
      </w:pPr>
      <w:r>
        <w:rPr>
          <w:rFonts w:ascii="Calibri" w:cs="Calibri" w:eastAsia="Calibri" w:hAnsi="Calibri"/>
          <w:b/>
          <w:bCs/>
          <w:color w:val="0B1F3A"/>
          <w:sz w:val="22"/>
          <w:szCs w:val="22"/>
        </w:rPr>
        <w:t xml:space="preserve">Decorative icons forbidden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If an icon is not communicating either an action, a status, or a category, remove it. "Decorative" icons are the loudest AI-slop tell.</w:t>
      </w:r>
    </w:p>
    <w:p>
      <w:pPr>
        <w:spacing w:after="120"/>
      </w:pPr>
      <w:r>
        <w:t xml:space="preserve"/>
      </w:r>
    </w:p>
    <w:p>
      <w:pPr>
        <w:pStyle w:val="Heading3"/>
        <w:spacing w:after="80" w:before="200"/>
      </w:pPr>
      <w:r>
        <w:rPr>
          <w:rFonts w:ascii="Calibri" w:cs="Calibri" w:eastAsia="Calibri" w:hAnsi="Calibri"/>
          <w:b/>
          <w:bCs/>
          <w:caps/>
          <w:color w:val="3F4750"/>
          <w:spacing w:val="30"/>
          <w:sz w:val="22"/>
          <w:szCs w:val="22"/>
        </w:rPr>
        <w:t xml:space="preserve">Photography &amp; illustration</w:t>
      </w:r>
    </w:p>
    <w:p>
      <w:pPr>
        <w:spacing w:after="140" w:before="0" w:line="320"/>
      </w:pPr>
      <w:r>
        <w:rPr>
          <w:rFonts w:ascii="Calibri" w:cs="Calibri" w:eastAsia="Calibri" w:hAnsi="Calibri"/>
          <w:color w:val="1E293B"/>
          <w:sz w:val="22"/>
          <w:szCs w:val="22"/>
        </w:rPr>
        <w:t xml:space="preserve">If photography is used in marketing surfaces (landing page, agent recruitment), keep it editorial and unposed. No stock-photo families on couches. No abstract gradient blob illustrations. If illustration is needed, use plain monochrome line drawings on Warm Ivory — the same line weight as the icons.</w:t>
      </w:r>
    </w:p>
    <w:p>
      <w:r>
        <w:br w:type="page"/>
      </w:r>
    </w:p>
    <w:p>
      <w:pPr>
        <w:spacing w:after="60" w:before="60"/>
      </w:pPr>
      <w:r>
        <w:rPr>
          <w:rFonts w:ascii="Calibri" w:cs="Calibri" w:eastAsia="Calibri" w:hAnsi="Calibri"/>
          <w:b/>
          <w:bCs/>
          <w:caps/>
          <w:color w:val="B8945A"/>
          <w:spacing w:val="60"/>
          <w:sz w:val="16"/>
          <w:szCs w:val="16"/>
        </w:rPr>
        <w:t xml:space="preserve">07 — Voice</w:t>
      </w:r>
    </w:p>
    <w:p>
      <w:pPr>
        <w:pStyle w:val="Heading1"/>
        <w:pBdr>
          <w:bottom w:val="single" w:color="0B1F3A" w:sz="8" w:space="4"/>
        </w:pBdr>
        <w:spacing w:after="200" w:before="360"/>
      </w:pPr>
      <w:r>
        <w:rPr>
          <w:rFonts w:ascii="Cambria" w:cs="Cambria" w:eastAsia="Cambria" w:hAnsi="Cambria"/>
          <w:b/>
          <w:bCs/>
          <w:color w:val="0B1F3A"/>
          <w:sz w:val="40"/>
          <w:szCs w:val="40"/>
        </w:rPr>
        <w:t xml:space="preserve">Voice &amp; Microcopy</w:t>
      </w:r>
    </w:p>
    <w:p>
      <w:pPr>
        <w:spacing w:after="200" w:before="80" w:line="340"/>
      </w:pPr>
      <w:r>
        <w:rPr>
          <w:rFonts w:ascii="Cambria" w:cs="Cambria" w:eastAsia="Cambria" w:hAnsi="Cambria"/>
          <w:i/>
          <w:iCs/>
          <w:color w:val="3F4750"/>
          <w:sz w:val="26"/>
          <w:szCs w:val="26"/>
        </w:rPr>
        <w:t xml:space="preserve">The interface should sound like a careful professional, not a friendly chatbot. Confident, plain, factual, and never apologetic about the price.</w:t>
      </w:r>
    </w:p>
    <w:p>
      <w:pPr>
        <w:pStyle w:val="Heading3"/>
        <w:spacing w:after="80" w:before="200"/>
      </w:pPr>
      <w:r>
        <w:rPr>
          <w:rFonts w:ascii="Calibri" w:cs="Calibri" w:eastAsia="Calibri" w:hAnsi="Calibri"/>
          <w:b/>
          <w:bCs/>
          <w:caps/>
          <w:color w:val="3F4750"/>
          <w:spacing w:val="30"/>
          <w:sz w:val="22"/>
          <w:szCs w:val="22"/>
        </w:rPr>
        <w:t xml:space="preserve">Tone rules</w:t>
      </w:r>
    </w:p>
    <w:p>
      <w:pPr>
        <w:pStyle w:val="ListParagraph"/>
        <w:numPr>
          <w:ilvl w:val="0"/>
          <w:numId w:val="2"/>
        </w:numPr>
        <w:spacing w:after="100" w:line="300"/>
      </w:pPr>
      <w:r>
        <w:rPr>
          <w:rFonts w:ascii="Calibri" w:cs="Calibri" w:eastAsia="Calibri" w:hAnsi="Calibri"/>
          <w:b/>
          <w:bCs/>
          <w:color w:val="0B1F3A"/>
          <w:sz w:val="22"/>
          <w:szCs w:val="22"/>
        </w:rPr>
        <w:t xml:space="preserve">Plain over clever</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"Your monthly premium" beats "Your monthly investment." Insurance has its own jargon already — do not add marketing jargon on top.</w:t>
      </w:r>
    </w:p>
    <w:p>
      <w:pPr>
        <w:pStyle w:val="ListParagraph"/>
        <w:numPr>
          <w:ilvl w:val="0"/>
          <w:numId w:val="2"/>
        </w:numPr>
        <w:spacing w:after="100" w:line="300"/>
      </w:pPr>
      <w:r>
        <w:rPr>
          <w:rFonts w:ascii="Calibri" w:cs="Calibri" w:eastAsia="Calibri" w:hAnsi="Calibri"/>
          <w:b/>
          <w:bCs/>
          <w:color w:val="0B1F3A"/>
          <w:sz w:val="22"/>
          <w:szCs w:val="22"/>
        </w:rPr>
        <w:t xml:space="preserve">Active voice, second person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"You'll pay $X / month" not "$X is what is paid monthly."</w:t>
      </w:r>
    </w:p>
    <w:p>
      <w:pPr>
        <w:pStyle w:val="ListParagraph"/>
        <w:numPr>
          <w:ilvl w:val="0"/>
          <w:numId w:val="2"/>
        </w:numPr>
        <w:spacing w:after="100" w:line="300"/>
      </w:pPr>
      <w:r>
        <w:rPr>
          <w:rFonts w:ascii="Calibri" w:cs="Calibri" w:eastAsia="Calibri" w:hAnsi="Calibri"/>
          <w:b/>
          <w:bCs/>
          <w:color w:val="0B1F3A"/>
          <w:sz w:val="22"/>
          <w:szCs w:val="22"/>
        </w:rPr>
        <w:t xml:space="preserve">No emoji, no exclamation points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Anywhere. Including success states. "Application submitted" is the entire confirmation message.</w:t>
      </w:r>
    </w:p>
    <w:p>
      <w:pPr>
        <w:pStyle w:val="ListParagraph"/>
        <w:numPr>
          <w:ilvl w:val="0"/>
          <w:numId w:val="2"/>
        </w:numPr>
        <w:spacing w:after="100" w:line="300"/>
      </w:pPr>
      <w:r>
        <w:rPr>
          <w:rFonts w:ascii="Calibri" w:cs="Calibri" w:eastAsia="Calibri" w:hAnsi="Calibri"/>
          <w:b/>
          <w:bCs/>
          <w:color w:val="0B1F3A"/>
          <w:sz w:val="22"/>
          <w:szCs w:val="22"/>
        </w:rPr>
        <w:t xml:space="preserve">Numbers always exact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"$1,247.83" not "about $1,250." The whole point of the dashboard is precision.</w:t>
      </w:r>
    </w:p>
    <w:p>
      <w:pPr>
        <w:pStyle w:val="ListParagraph"/>
        <w:numPr>
          <w:ilvl w:val="0"/>
          <w:numId w:val="2"/>
        </w:numPr>
        <w:spacing w:after="100" w:line="300"/>
      </w:pPr>
      <w:r>
        <w:rPr>
          <w:rFonts w:ascii="Calibri" w:cs="Calibri" w:eastAsia="Calibri" w:hAnsi="Calibri"/>
          <w:b/>
          <w:bCs/>
          <w:color w:val="0B1F3A"/>
          <w:sz w:val="22"/>
          <w:szCs w:val="22"/>
        </w:rPr>
        <w:t xml:space="preserve">Disclosures are first-class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Rate-class disclaimers, term-conversion clauses, and "subject to underwriting" notes appear inline in Caption / Graphite — not hidden in a tooltip.</w:t>
      </w:r>
    </w:p>
    <w:p>
      <w:pPr>
        <w:spacing w:after="120"/>
      </w:pPr>
      <w:r>
        <w:t xml:space="preserve"/>
      </w:r>
    </w:p>
    <w:p>
      <w:pPr>
        <w:pStyle w:val="Heading3"/>
        <w:spacing w:after="80" w:before="200"/>
      </w:pPr>
      <w:r>
        <w:rPr>
          <w:rFonts w:ascii="Calibri" w:cs="Calibri" w:eastAsia="Calibri" w:hAnsi="Calibri"/>
          <w:b/>
          <w:bCs/>
          <w:caps/>
          <w:color w:val="3F4750"/>
          <w:spacing w:val="30"/>
          <w:sz w:val="22"/>
          <w:szCs w:val="22"/>
        </w:rPr>
        <w:t xml:space="preserve">Microcopy library</w:t>
      </w:r>
    </w:p>
    <w:p>
      <w:pPr>
        <w:spacing w:after="140" w:before="0" w:line="320"/>
      </w:pPr>
      <w:r>
        <w:rPr>
          <w:rFonts w:ascii="Calibri" w:cs="Calibri" w:eastAsia="Calibri" w:hAnsi="Calibri"/>
          <w:color w:val="1E293B"/>
          <w:sz w:val="22"/>
          <w:szCs w:val="22"/>
        </w:rPr>
        <w:t xml:space="preserve">Use these strings verbatim where the situation matches. Consistency across screens is more valuable than localized cleverness.</w:t>
      </w:r>
    </w:p>
    <w:p>
      <w:pPr>
        <w:pStyle w:val="ListParagraph"/>
        <w:numPr>
          <w:ilvl w:val="0"/>
          <w:numId w:val="2"/>
        </w:numPr>
        <w:spacing w:after="100" w:line="300"/>
      </w:pPr>
      <w:r>
        <w:rPr>
          <w:rFonts w:ascii="Calibri" w:cs="Calibri" w:eastAsia="Calibri" w:hAnsi="Calibri"/>
          <w:b/>
          <w:bCs/>
          <w:color w:val="0B1F3A"/>
          <w:sz w:val="22"/>
          <w:szCs w:val="22"/>
        </w:rPr>
        <w:t xml:space="preserve">Empty state — no quotes yet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"Run a quote to see pricing for this client."</w:t>
      </w:r>
    </w:p>
    <w:p>
      <w:pPr>
        <w:pStyle w:val="ListParagraph"/>
        <w:numPr>
          <w:ilvl w:val="0"/>
          <w:numId w:val="2"/>
        </w:numPr>
        <w:spacing w:after="100" w:line="300"/>
      </w:pPr>
      <w:r>
        <w:rPr>
          <w:rFonts w:ascii="Calibri" w:cs="Calibri" w:eastAsia="Calibri" w:hAnsi="Calibri"/>
          <w:b/>
          <w:bCs/>
          <w:color w:val="0B1F3A"/>
          <w:sz w:val="22"/>
          <w:szCs w:val="22"/>
        </w:rPr>
        <w:t xml:space="preserve">Loading premium</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"Pricing…" (no ellipsis animation; the number reveals when ready).</w:t>
      </w:r>
    </w:p>
    <w:p>
      <w:pPr>
        <w:pStyle w:val="ListParagraph"/>
        <w:numPr>
          <w:ilvl w:val="0"/>
          <w:numId w:val="2"/>
        </w:numPr>
        <w:spacing w:after="100" w:line="300"/>
      </w:pPr>
      <w:r>
        <w:rPr>
          <w:rFonts w:ascii="Calibri" w:cs="Calibri" w:eastAsia="Calibri" w:hAnsi="Calibri"/>
          <w:b/>
          <w:bCs/>
          <w:color w:val="0B1F3A"/>
          <w:sz w:val="22"/>
          <w:szCs w:val="22"/>
        </w:rPr>
        <w:t xml:space="preserve">Error — quote failed</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"We couldn't price this combination. Try a shorter term or lower coverage amount."</w:t>
      </w:r>
    </w:p>
    <w:p>
      <w:pPr>
        <w:pStyle w:val="ListParagraph"/>
        <w:numPr>
          <w:ilvl w:val="0"/>
          <w:numId w:val="2"/>
        </w:numPr>
        <w:spacing w:after="100" w:line="300"/>
      </w:pPr>
      <w:r>
        <w:rPr>
          <w:rFonts w:ascii="Calibri" w:cs="Calibri" w:eastAsia="Calibri" w:hAnsi="Calibri"/>
          <w:b/>
          <w:bCs/>
          <w:color w:val="0B1F3A"/>
          <w:sz w:val="22"/>
          <w:szCs w:val="22"/>
        </w:rPr>
        <w:t xml:space="preserve">Confirmation — application sent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"Application submitted. Underwriting typically responds within 5 business days."</w:t>
      </w:r>
    </w:p>
    <w:p>
      <w:pPr>
        <w:pStyle w:val="ListParagraph"/>
        <w:numPr>
          <w:ilvl w:val="0"/>
          <w:numId w:val="2"/>
        </w:numPr>
        <w:spacing w:after="100" w:line="300"/>
      </w:pPr>
      <w:r>
        <w:rPr>
          <w:rFonts w:ascii="Calibri" w:cs="Calibri" w:eastAsia="Calibri" w:hAnsi="Calibri"/>
          <w:b/>
          <w:bCs/>
          <w:color w:val="0B1F3A"/>
          <w:sz w:val="22"/>
          <w:szCs w:val="22"/>
        </w:rPr>
        <w:t xml:space="preserve">Disclaimer — illustrative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"Quoted rates are illustrative. Final premium depends on the underwriting class assigned at policy issue."</w:t>
      </w:r>
    </w:p>
    <w:p>
      <w:r>
        <w:br w:type="page"/>
      </w:r>
    </w:p>
    <w:p>
      <w:pPr>
        <w:spacing w:after="60" w:before="60"/>
      </w:pPr>
      <w:r>
        <w:rPr>
          <w:rFonts w:ascii="Calibri" w:cs="Calibri" w:eastAsia="Calibri" w:hAnsi="Calibri"/>
          <w:b/>
          <w:bCs/>
          <w:caps/>
          <w:color w:val="B8945A"/>
          <w:spacing w:val="60"/>
          <w:sz w:val="16"/>
          <w:szCs w:val="16"/>
        </w:rPr>
        <w:t xml:space="preserve">08 — Accessibility</w:t>
      </w:r>
    </w:p>
    <w:p>
      <w:pPr>
        <w:pStyle w:val="Heading1"/>
        <w:pBdr>
          <w:bottom w:val="single" w:color="0B1F3A" w:sz="8" w:space="4"/>
        </w:pBdr>
        <w:spacing w:after="200" w:before="360"/>
      </w:pPr>
      <w:r>
        <w:rPr>
          <w:rFonts w:ascii="Cambria" w:cs="Cambria" w:eastAsia="Cambria" w:hAnsi="Cambria"/>
          <w:b/>
          <w:bCs/>
          <w:color w:val="0B1F3A"/>
          <w:sz w:val="40"/>
          <w:szCs w:val="40"/>
        </w:rPr>
        <w:t xml:space="preserve">Accessibility Standards</w:t>
      </w:r>
    </w:p>
    <w:p>
      <w:pPr>
        <w:spacing w:after="200" w:before="80" w:line="340"/>
      </w:pPr>
      <w:r>
        <w:rPr>
          <w:rFonts w:ascii="Cambria" w:cs="Cambria" w:eastAsia="Cambria" w:hAnsi="Cambria"/>
          <w:i/>
          <w:iCs/>
          <w:color w:val="3F4750"/>
          <w:sz w:val="26"/>
          <w:szCs w:val="26"/>
        </w:rPr>
        <w:t xml:space="preserve">WCAG 2.2 AA is the floor, not the ceiling. Insurance products are sold to older customers and to customers with disabilities — the dashboard must be operable by everyone.</w:t>
      </w:r>
    </w:p>
    <w:p>
      <w:pPr>
        <w:pStyle w:val="ListParagraph"/>
        <w:numPr>
          <w:ilvl w:val="0"/>
          <w:numId w:val="2"/>
        </w:numPr>
        <w:spacing w:after="100" w:line="300"/>
      </w:pPr>
      <w:r>
        <w:rPr>
          <w:rFonts w:ascii="Calibri" w:cs="Calibri" w:eastAsia="Calibri" w:hAnsi="Calibri"/>
          <w:b/>
          <w:bCs/>
          <w:color w:val="0B1F3A"/>
          <w:sz w:val="22"/>
          <w:szCs w:val="22"/>
        </w:rPr>
        <w:t xml:space="preserve">Contrast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AA minimum (4.5:1 body, 3:1 large). The palette has been chosen so that the only failing combination is Burnished Gold on Warm Ivory — gold is therefore restricted to decorative use only.</w:t>
      </w:r>
    </w:p>
    <w:p>
      <w:pPr>
        <w:pStyle w:val="ListParagraph"/>
        <w:numPr>
          <w:ilvl w:val="0"/>
          <w:numId w:val="2"/>
        </w:numPr>
        <w:spacing w:after="100" w:line="300"/>
      </w:pPr>
      <w:r>
        <w:rPr>
          <w:rFonts w:ascii="Calibri" w:cs="Calibri" w:eastAsia="Calibri" w:hAnsi="Calibri"/>
          <w:b/>
          <w:bCs/>
          <w:color w:val="0B1F3A"/>
          <w:sz w:val="22"/>
          <w:szCs w:val="22"/>
        </w:rPr>
        <w:t xml:space="preserve">Focus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2px Midnight Navy outset focus ring on every interactive element. Never remove the outline; redesign it if the default is ugly.</w:t>
      </w:r>
    </w:p>
    <w:p>
      <w:pPr>
        <w:pStyle w:val="ListParagraph"/>
        <w:numPr>
          <w:ilvl w:val="0"/>
          <w:numId w:val="2"/>
        </w:numPr>
        <w:spacing w:after="100" w:line="300"/>
      </w:pPr>
      <w:r>
        <w:rPr>
          <w:rFonts w:ascii="Calibri" w:cs="Calibri" w:eastAsia="Calibri" w:hAnsi="Calibri"/>
          <w:b/>
          <w:bCs/>
          <w:color w:val="0B1F3A"/>
          <w:sz w:val="22"/>
          <w:szCs w:val="22"/>
        </w:rPr>
        <w:t xml:space="preserve">Keyboard</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All comparison cards, calculator inputs, and chart data points are keyboard-reachable in a logical order. Sliders accept arrow keys with a 1% step and Shift+arrow with a 10% step.</w:t>
      </w:r>
    </w:p>
    <w:p>
      <w:pPr>
        <w:pStyle w:val="ListParagraph"/>
        <w:numPr>
          <w:ilvl w:val="0"/>
          <w:numId w:val="2"/>
        </w:numPr>
        <w:spacing w:after="100" w:line="300"/>
      </w:pPr>
      <w:r>
        <w:rPr>
          <w:rFonts w:ascii="Calibri" w:cs="Calibri" w:eastAsia="Calibri" w:hAnsi="Calibri"/>
          <w:b/>
          <w:bCs/>
          <w:color w:val="0B1F3A"/>
          <w:sz w:val="22"/>
          <w:szCs w:val="22"/>
        </w:rPr>
        <w:t xml:space="preserve">Color independence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Status is always communicated with both color and an icon or label. A color-blind customer who can't distinguish Heritage Green from Stone 300 must still be able to read the recommended plan.</w:t>
      </w:r>
    </w:p>
    <w:p>
      <w:pPr>
        <w:pStyle w:val="ListParagraph"/>
        <w:numPr>
          <w:ilvl w:val="0"/>
          <w:numId w:val="2"/>
        </w:numPr>
        <w:spacing w:after="100" w:line="300"/>
      </w:pPr>
      <w:r>
        <w:rPr>
          <w:rFonts w:ascii="Calibri" w:cs="Calibri" w:eastAsia="Calibri" w:hAnsi="Calibri"/>
          <w:b/>
          <w:bCs/>
          <w:color w:val="0B1F3A"/>
          <w:sz w:val="22"/>
          <w:szCs w:val="22"/>
        </w:rPr>
        <w:t xml:space="preserve">Motion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Honor `prefers-reduced-motion`. The premium-update tween, slider thumb movement, and chart hover guide all collapse to instant updates when the preference is set.</w:t>
      </w:r>
    </w:p>
    <w:p>
      <w:pPr>
        <w:pStyle w:val="ListParagraph"/>
        <w:numPr>
          <w:ilvl w:val="0"/>
          <w:numId w:val="2"/>
        </w:numPr>
        <w:spacing w:after="100" w:line="300"/>
      </w:pPr>
      <w:r>
        <w:rPr>
          <w:rFonts w:ascii="Calibri" w:cs="Calibri" w:eastAsia="Calibri" w:hAnsi="Calibri"/>
          <w:b/>
          <w:bCs/>
          <w:color w:val="0B1F3A"/>
          <w:sz w:val="22"/>
          <w:szCs w:val="22"/>
        </w:rPr>
        <w:t xml:space="preserve">Screen readers</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Every numeric readout has a paired `aria-label` that includes the unit ("$1,247.83 per month"). Charts include a hidden text summary describing the data trend.</w:t>
      </w:r>
    </w:p>
    <w:p>
      <w:r>
        <w:br w:type="page"/>
      </w:r>
    </w:p>
    <w:p>
      <w:pPr>
        <w:spacing w:after="60" w:before="60"/>
      </w:pPr>
      <w:r>
        <w:rPr>
          <w:rFonts w:ascii="Calibri" w:cs="Calibri" w:eastAsia="Calibri" w:hAnsi="Calibri"/>
          <w:b/>
          <w:bCs/>
          <w:caps/>
          <w:color w:val="B8945A"/>
          <w:spacing w:val="60"/>
          <w:sz w:val="16"/>
          <w:szCs w:val="16"/>
        </w:rPr>
        <w:t xml:space="preserve">09 — Hand-off</w:t>
      </w:r>
    </w:p>
    <w:p>
      <w:pPr>
        <w:pStyle w:val="Heading1"/>
        <w:pBdr>
          <w:bottom w:val="single" w:color="0B1F3A" w:sz="8" w:space="4"/>
        </w:pBdr>
        <w:spacing w:after="200" w:before="360"/>
      </w:pPr>
      <w:r>
        <w:rPr>
          <w:rFonts w:ascii="Cambria" w:cs="Cambria" w:eastAsia="Cambria" w:hAnsi="Cambria"/>
          <w:b/>
          <w:bCs/>
          <w:color w:val="0B1F3A"/>
          <w:sz w:val="40"/>
          <w:szCs w:val="40"/>
        </w:rPr>
        <w:t xml:space="preserve">Notes for Implementation</w:t>
      </w:r>
    </w:p>
    <w:p>
      <w:pPr>
        <w:spacing w:after="200" w:before="80" w:line="340"/>
      </w:pPr>
      <w:r>
        <w:rPr>
          <w:rFonts w:ascii="Cambria" w:cs="Cambria" w:eastAsia="Cambria" w:hAnsi="Cambria"/>
          <w:i/>
          <w:iCs/>
          <w:color w:val="3F4750"/>
          <w:sz w:val="26"/>
          <w:szCs w:val="26"/>
        </w:rPr>
        <w:t xml:space="preserve">This document is the canonical source. When in doubt — and especially when an AI assistant proposes a deviation — return to this doc and choose the option closest to the rules above.</w:t>
      </w:r>
    </w:p>
    <w:p>
      <w:pPr>
        <w:pStyle w:val="Heading3"/>
        <w:spacing w:after="80" w:before="200"/>
      </w:pPr>
      <w:r>
        <w:rPr>
          <w:rFonts w:ascii="Calibri" w:cs="Calibri" w:eastAsia="Calibri" w:hAnsi="Calibri"/>
          <w:b/>
          <w:bCs/>
          <w:caps/>
          <w:color w:val="3F4750"/>
          <w:spacing w:val="30"/>
          <w:sz w:val="22"/>
          <w:szCs w:val="22"/>
        </w:rPr>
        <w:t xml:space="preserve">Token names for code</w:t>
      </w:r>
    </w:p>
    <w:p>
      <w:pPr>
        <w:spacing w:after="140" w:before="0" w:line="320"/>
      </w:pPr>
      <w:r>
        <w:rPr>
          <w:rFonts w:ascii="Calibri" w:cs="Calibri" w:eastAsia="Calibri" w:hAnsi="Calibri"/>
          <w:color w:val="1E293B"/>
          <w:sz w:val="22"/>
          <w:szCs w:val="22"/>
        </w:rPr>
        <w:t xml:space="preserve">Use these exact names in CSS variables, Tailwind config, or design tokens. They map 1:1 to the values in Sections 02–04.</w:t>
      </w:r>
    </w:p>
    <w:p>
      <w:pPr>
        <w:pStyle w:val="ListParagraph"/>
        <w:numPr>
          <w:ilvl w:val="0"/>
          <w:numId w:val="2"/>
        </w:numPr>
        <w:spacing w:after="100" w:line="300"/>
      </w:pPr>
      <w:r>
        <w:rPr>
          <w:rFonts w:ascii="Calibri" w:cs="Calibri" w:eastAsia="Calibri" w:hAnsi="Calibri"/>
          <w:b/>
          <w:bCs/>
          <w:color w:val="0B1F3A"/>
          <w:sz w:val="22"/>
          <w:szCs w:val="22"/>
        </w:rPr>
        <w:t xml:space="preserve">--color-page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FAF7F0 (Warm Ivory)</w:t>
      </w:r>
    </w:p>
    <w:p>
      <w:pPr>
        <w:pStyle w:val="ListParagraph"/>
        <w:numPr>
          <w:ilvl w:val="0"/>
          <w:numId w:val="2"/>
        </w:numPr>
        <w:spacing w:after="100" w:line="300"/>
      </w:pPr>
      <w:r>
        <w:rPr>
          <w:rFonts w:ascii="Calibri" w:cs="Calibri" w:eastAsia="Calibri" w:hAnsi="Calibri"/>
          <w:b/>
          <w:bCs/>
          <w:color w:val="0B1F3A"/>
          <w:sz w:val="22"/>
          <w:szCs w:val="22"/>
        </w:rPr>
        <w:t xml:space="preserve">--color-surface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FFFFFF (card fill)</w:t>
      </w:r>
    </w:p>
    <w:p>
      <w:pPr>
        <w:pStyle w:val="ListParagraph"/>
        <w:numPr>
          <w:ilvl w:val="0"/>
          <w:numId w:val="2"/>
        </w:numPr>
        <w:spacing w:after="100" w:line="300"/>
      </w:pPr>
      <w:r>
        <w:rPr>
          <w:rFonts w:ascii="Calibri" w:cs="Calibri" w:eastAsia="Calibri" w:hAnsi="Calibri"/>
          <w:b/>
          <w:bCs/>
          <w:color w:val="0B1F3A"/>
          <w:sz w:val="22"/>
          <w:szCs w:val="22"/>
        </w:rPr>
        <w:t xml:space="preserve">--color-surface-recede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F1EEE7 (Soft Stone 100)</w:t>
      </w:r>
    </w:p>
    <w:p>
      <w:pPr>
        <w:pStyle w:val="ListParagraph"/>
        <w:numPr>
          <w:ilvl w:val="0"/>
          <w:numId w:val="2"/>
        </w:numPr>
        <w:spacing w:after="100" w:line="300"/>
      </w:pPr>
      <w:r>
        <w:rPr>
          <w:rFonts w:ascii="Calibri" w:cs="Calibri" w:eastAsia="Calibri" w:hAnsi="Calibri"/>
          <w:b/>
          <w:bCs/>
          <w:color w:val="0B1F3A"/>
          <w:sz w:val="22"/>
          <w:szCs w:val="22"/>
        </w:rPr>
        <w:t xml:space="preserve">--color-ink</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1E293B (Slate Ink)</w:t>
      </w:r>
    </w:p>
    <w:p>
      <w:pPr>
        <w:pStyle w:val="ListParagraph"/>
        <w:numPr>
          <w:ilvl w:val="0"/>
          <w:numId w:val="2"/>
        </w:numPr>
        <w:spacing w:after="100" w:line="300"/>
      </w:pPr>
      <w:r>
        <w:rPr>
          <w:rFonts w:ascii="Calibri" w:cs="Calibri" w:eastAsia="Calibri" w:hAnsi="Calibri"/>
          <w:b/>
          <w:bCs/>
          <w:color w:val="0B1F3A"/>
          <w:sz w:val="22"/>
          <w:szCs w:val="22"/>
        </w:rPr>
        <w:t xml:space="preserve">--color-ink-muted</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3F4750 (Graphite)</w:t>
      </w:r>
    </w:p>
    <w:p>
      <w:pPr>
        <w:pStyle w:val="ListParagraph"/>
        <w:numPr>
          <w:ilvl w:val="0"/>
          <w:numId w:val="2"/>
        </w:numPr>
        <w:spacing w:after="100" w:line="300"/>
      </w:pPr>
      <w:r>
        <w:rPr>
          <w:rFonts w:ascii="Calibri" w:cs="Calibri" w:eastAsia="Calibri" w:hAnsi="Calibri"/>
          <w:b/>
          <w:bCs/>
          <w:color w:val="0B1F3A"/>
          <w:sz w:val="22"/>
          <w:szCs w:val="22"/>
        </w:rPr>
        <w:t xml:space="preserve">--color-primary</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0B1F3A (Midnight Navy)</w:t>
      </w:r>
    </w:p>
    <w:p>
      <w:pPr>
        <w:pStyle w:val="ListParagraph"/>
        <w:numPr>
          <w:ilvl w:val="0"/>
          <w:numId w:val="2"/>
        </w:numPr>
        <w:spacing w:after="100" w:line="300"/>
      </w:pPr>
      <w:r>
        <w:rPr>
          <w:rFonts w:ascii="Calibri" w:cs="Calibri" w:eastAsia="Calibri" w:hAnsi="Calibri"/>
          <w:b/>
          <w:bCs/>
          <w:color w:val="0B1F3A"/>
          <w:sz w:val="22"/>
          <w:szCs w:val="22"/>
        </w:rPr>
        <w:t xml:space="preserve">--color-accent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2C5F4F (Heritage Green)</w:t>
      </w:r>
    </w:p>
    <w:p>
      <w:pPr>
        <w:pStyle w:val="ListParagraph"/>
        <w:numPr>
          <w:ilvl w:val="0"/>
          <w:numId w:val="2"/>
        </w:numPr>
        <w:spacing w:after="100" w:line="300"/>
      </w:pPr>
      <w:r>
        <w:rPr>
          <w:rFonts w:ascii="Calibri" w:cs="Calibri" w:eastAsia="Calibri" w:hAnsi="Calibri"/>
          <w:b/>
          <w:bCs/>
          <w:color w:val="0B1F3A"/>
          <w:sz w:val="22"/>
          <w:szCs w:val="22"/>
        </w:rPr>
        <w:t xml:space="preserve">--color-premium</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B8945A (Burnished Gold)</w:t>
      </w:r>
    </w:p>
    <w:p>
      <w:pPr>
        <w:pStyle w:val="ListParagraph"/>
        <w:numPr>
          <w:ilvl w:val="0"/>
          <w:numId w:val="2"/>
        </w:numPr>
        <w:spacing w:after="100" w:line="300"/>
      </w:pPr>
      <w:r>
        <w:rPr>
          <w:rFonts w:ascii="Calibri" w:cs="Calibri" w:eastAsia="Calibri" w:hAnsi="Calibri"/>
          <w:b/>
          <w:bCs/>
          <w:color w:val="0B1F3A"/>
          <w:sz w:val="22"/>
          <w:szCs w:val="22"/>
        </w:rPr>
        <w:t xml:space="preserve">--color-critical</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9A2A2A (Signal Red)</w:t>
      </w:r>
    </w:p>
    <w:p>
      <w:pPr>
        <w:pStyle w:val="ListParagraph"/>
        <w:numPr>
          <w:ilvl w:val="0"/>
          <w:numId w:val="2"/>
        </w:numPr>
        <w:spacing w:after="100" w:line="300"/>
      </w:pPr>
      <w:r>
        <w:rPr>
          <w:rFonts w:ascii="Calibri" w:cs="Calibri" w:eastAsia="Calibri" w:hAnsi="Calibri"/>
          <w:b/>
          <w:bCs/>
          <w:color w:val="0B1F3A"/>
          <w:sz w:val="22"/>
          <w:szCs w:val="22"/>
        </w:rPr>
        <w:t xml:space="preserve">--color-rule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D8D4CB (Hairline rule)</w:t>
      </w:r>
    </w:p>
    <w:p>
      <w:pPr>
        <w:pStyle w:val="Heading3"/>
        <w:spacing w:after="80" w:before="200"/>
      </w:pPr>
      <w:r>
        <w:rPr>
          <w:rFonts w:ascii="Calibri" w:cs="Calibri" w:eastAsia="Calibri" w:hAnsi="Calibri"/>
          <w:b/>
          <w:bCs/>
          <w:caps/>
          <w:color w:val="3F4750"/>
          <w:spacing w:val="30"/>
          <w:sz w:val="22"/>
          <w:szCs w:val="22"/>
        </w:rPr>
        <w:t xml:space="preserve">Final review checklist</w:t>
      </w:r>
    </w:p>
    <w:p>
      <w:pPr>
        <w:spacing w:after="140" w:before="0" w:line="320"/>
      </w:pPr>
      <w:r>
        <w:rPr>
          <w:rFonts w:ascii="Calibri" w:cs="Calibri" w:eastAsia="Calibri" w:hAnsi="Calibri"/>
          <w:color w:val="1E293B"/>
          <w:sz w:val="22"/>
          <w:szCs w:val="22"/>
        </w:rPr>
        <w:t xml:space="preserve">Before any new screen ships, walk it through this short checklist. If any answer is "yes," the screen is not done.</w:t>
      </w:r>
    </w:p>
    <w:p>
      <w:pPr>
        <w:pStyle w:val="ListParagraph"/>
        <w:numPr>
          <w:ilvl w:val="0"/>
          <w:numId w:val="2"/>
        </w:numPr>
        <w:spacing w:after="100" w:line="300"/>
      </w:pPr>
      <w:r>
        <w:rPr>
          <w:rFonts w:ascii="Calibri" w:cs="Calibri" w:eastAsia="Calibri" w:hAnsi="Calibri"/>
          <w:b/>
          <w:bCs/>
          <w:color w:val="0B1F3A"/>
          <w:sz w:val="22"/>
          <w:szCs w:val="22"/>
        </w:rPr>
        <w:t xml:space="preserve">Gradient anywhere?</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If yes — remove.</w:t>
      </w:r>
    </w:p>
    <w:p>
      <w:pPr>
        <w:pStyle w:val="ListParagraph"/>
        <w:numPr>
          <w:ilvl w:val="0"/>
          <w:numId w:val="2"/>
        </w:numPr>
        <w:spacing w:after="100" w:line="300"/>
      </w:pPr>
      <w:r>
        <w:rPr>
          <w:rFonts w:ascii="Calibri" w:cs="Calibri" w:eastAsia="Calibri" w:hAnsi="Calibri"/>
          <w:b/>
          <w:bCs/>
          <w:color w:val="0B1F3A"/>
          <w:sz w:val="22"/>
          <w:szCs w:val="22"/>
        </w:rPr>
        <w:t xml:space="preserve">Drop shadow on a resting card?</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If yes — replace with a 1px Stone 300 border.</w:t>
      </w:r>
    </w:p>
    <w:p>
      <w:pPr>
        <w:pStyle w:val="ListParagraph"/>
        <w:numPr>
          <w:ilvl w:val="0"/>
          <w:numId w:val="2"/>
        </w:numPr>
        <w:spacing w:after="100" w:line="300"/>
      </w:pPr>
      <w:r>
        <w:rPr>
          <w:rFonts w:ascii="Calibri" w:cs="Calibri" w:eastAsia="Calibri" w:hAnsi="Calibri"/>
          <w:b/>
          <w:bCs/>
          <w:color w:val="0B1F3A"/>
          <w:sz w:val="22"/>
          <w:szCs w:val="22"/>
        </w:rPr>
        <w:t xml:space="preserve">Numbers in a non-tabular font?</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If yes — switch to JetBrains Mono or enable `tnum`.</w:t>
      </w:r>
    </w:p>
    <w:p>
      <w:pPr>
        <w:pStyle w:val="ListParagraph"/>
        <w:numPr>
          <w:ilvl w:val="0"/>
          <w:numId w:val="2"/>
        </w:numPr>
        <w:spacing w:after="100" w:line="300"/>
      </w:pPr>
      <w:r>
        <w:rPr>
          <w:rFonts w:ascii="Calibri" w:cs="Calibri" w:eastAsia="Calibri" w:hAnsi="Calibri"/>
          <w:b/>
          <w:bCs/>
          <w:color w:val="0B1F3A"/>
          <w:sz w:val="22"/>
          <w:szCs w:val="22"/>
        </w:rPr>
        <w:t xml:space="preserve">Pure white #FFFFFF page background?</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If yes — change to Warm Ivory. Pure white belongs only inside cards.</w:t>
      </w:r>
    </w:p>
    <w:p>
      <w:pPr>
        <w:pStyle w:val="ListParagraph"/>
        <w:numPr>
          <w:ilvl w:val="0"/>
          <w:numId w:val="2"/>
        </w:numPr>
        <w:spacing w:after="100" w:line="300"/>
      </w:pPr>
      <w:r>
        <w:rPr>
          <w:rFonts w:ascii="Calibri" w:cs="Calibri" w:eastAsia="Calibri" w:hAnsi="Calibri"/>
          <w:b/>
          <w:bCs/>
          <w:color w:val="0B1F3A"/>
          <w:sz w:val="22"/>
          <w:szCs w:val="22"/>
        </w:rPr>
        <w:t xml:space="preserve">More than two type sizes inside one card?</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If yes — collapse to two.</w:t>
      </w:r>
    </w:p>
    <w:p>
      <w:pPr>
        <w:pStyle w:val="ListParagraph"/>
        <w:numPr>
          <w:ilvl w:val="0"/>
          <w:numId w:val="2"/>
        </w:numPr>
        <w:spacing w:after="100" w:line="300"/>
      </w:pPr>
      <w:r>
        <w:rPr>
          <w:rFonts w:ascii="Calibri" w:cs="Calibri" w:eastAsia="Calibri" w:hAnsi="Calibri"/>
          <w:b/>
          <w:bCs/>
          <w:color w:val="0B1F3A"/>
          <w:sz w:val="22"/>
          <w:szCs w:val="22"/>
        </w:rPr>
        <w:t xml:space="preserve">Any icon used purely for decoration?</w:t>
      </w:r>
      <w:r>
        <w:rPr>
          <w:rFonts w:ascii="Calibri" w:cs="Calibri" w:eastAsia="Calibri" w:hAnsi="Calibri"/>
          <w:color w:val="3F4750"/>
          <w:sz w:val="22"/>
          <w:szCs w:val="22"/>
        </w:rPr>
        <w:t xml:space="preserve"> — </w:t>
      </w:r>
      <w:r>
        <w:rPr>
          <w:rFonts w:ascii="Calibri" w:cs="Calibri" w:eastAsia="Calibri" w:hAnsi="Calibri"/>
          <w:color w:val="1E293B"/>
          <w:sz w:val="22"/>
          <w:szCs w:val="22"/>
        </w:rPr>
        <w:t xml:space="preserve">If yes — delete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B" w:sz="4" w:space="6"/>
      </w:pBdr>
      <w:tabs>
        <w:tab w:val="right" w:pos="9026"/>
      </w:tabs>
      <w:spacing w:before="0"/>
    </w:pPr>
    <w:r>
      <w:rPr>
        <w:rFonts w:ascii="Cambria" w:cs="Cambria" w:eastAsia="Cambria" w:hAnsi="Cambria"/>
        <w:i/>
        <w:iCs/>
        <w:color w:val="3F4750"/>
        <w:sz w:val="16"/>
        <w:szCs w:val="16"/>
      </w:rPr>
      <w:t xml:space="preserve">Trustworthy. Institutional. Restrained.</w:t>
    </w:r>
    <w:r>
      <w:rPr>
        <w:rFonts w:ascii="Calibri" w:cs="Calibri" w:eastAsia="Calibri" w:hAnsi="Calibri"/>
        <w:color w:val="3F4750"/>
        <w:sz w:val="16"/>
        <w:szCs w:val="16"/>
      </w:rPr>
      <w:t xml:space="preserve">	</w:t>
    </w:r>
    <w:r>
      <w:rPr>
        <w:rFonts w:ascii="Calibri" w:cs="Calibri" w:eastAsia="Calibri" w:hAnsi="Calibri"/>
        <w:color w:val="3F4750"/>
        <w:sz w:val="16"/>
        <w:szCs w:val="16"/>
      </w:rPr>
      <w:t xml:space="preserve">Page </w:t>
    </w:r>
    <w:r>
      <w:rPr>
        <w:rFonts w:ascii="Calibri" w:cs="Calibri" w:eastAsia="Calibri" w:hAnsi="Calibri"/>
        <w:color w:val="3F47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B" w:sz="4" w:space="6"/>
      </w:pBdr>
      <w:tabs>
        <w:tab w:val="right" w:pos="9026"/>
      </w:tabs>
      <w:spacing w:after="0"/>
    </w:pPr>
    <w:r>
      <w:rPr>
        <w:rFonts w:ascii="Calibri" w:cs="Calibri" w:eastAsia="Calibri" w:hAnsi="Calibri"/>
        <w:caps/>
        <w:color w:val="3F4750"/>
        <w:spacing w:val="80"/>
        <w:sz w:val="14"/>
        <w:szCs w:val="14"/>
      </w:rPr>
      <w:t xml:space="preserve">POLICYPILOT DESIGN SYSTEM</w:t>
    </w:r>
    <w:r>
      <w:rPr>
        <w:rFonts w:ascii="Calibri" w:cs="Calibri" w:eastAsia="Calibri" w:hAnsi="Calibri"/>
        <w:caps/>
        <w:color w:val="3F4750"/>
        <w:spacing w:val="80"/>
        <w:sz w:val="14"/>
        <w:szCs w:val="14"/>
      </w:rPr>
      <w:t xml:space="preserve">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0B1F3A"/>
      <w:sz w:val="40"/>
      <w:szCs w:val="40"/>
    </w:rPr>
  </w:style>
  <w:style w:type="paragraph" w:styleId="Heading2">
    <w:name w:val="Heading 2"/>
    <w:basedOn w:val="Normal"/>
    <w:next w:val="Normal"/>
    <w:qFormat/>
    <w:pPr>
      <w:spacing w:after="120" w:before="280"/>
      <w:outlineLvl w:val="1"/>
    </w:pPr>
    <w:rPr>
      <w:rFonts w:ascii="Cambria" w:cs="Cambria" w:eastAsia="Cambria" w:hAnsi="Cambria"/>
      <w:b/>
      <w:bCs/>
      <w:color w:val="0B1F3A"/>
      <w:sz w:val="28"/>
      <w:szCs w:val="28"/>
    </w:rPr>
  </w:style>
  <w:style w:type="paragraph" w:styleId="Heading3">
    <w:name w:val="Heading 3"/>
    <w:basedOn w:val="Normal"/>
    <w:next w:val="Normal"/>
    <w:qFormat/>
    <w:pPr>
      <w:spacing w:after="80" w:before="200"/>
      <w:outlineLvl w:val="2"/>
    </w:pPr>
    <w:rPr>
      <w:rFonts w:ascii="Calibri" w:cs="Calibri" w:eastAsia="Calibri" w:hAnsi="Calibri"/>
      <w:b/>
      <w:bCs/>
      <w:caps/>
      <w:color w:val="3F4750"/>
      <w:spacing w:val="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PolicyPilot Dashboard Design System</dc:title>
  <dc:creator>Tanner</dc:creator>
  <cp:lastModifiedBy>Un-named</cp:lastModifiedBy>
  <cp:revision>1</cp:revision>
  <dcterms:created xsi:type="dcterms:W3CDTF">2026-05-08T03:32:42.383Z</dcterms:created>
  <dcterms:modified xsi:type="dcterms:W3CDTF">2026-05-08T03:32:42.383Z</dcterms:modified>
</cp:coreProperties>
</file>

<file path=docProps/custom.xml><?xml version="1.0" encoding="utf-8"?>
<Properties xmlns="http://schemas.openxmlformats.org/officeDocument/2006/custom-properties" xmlns:vt="http://schemas.openxmlformats.org/officeDocument/2006/docPropsVTypes"/>
</file>