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center"/>
      </w:pPr>
      <w:r>
        <w:rPr>
          <w:rFonts w:ascii="Segoe UI Symbol" w:cs="Segoe UI Symbol" w:eastAsia="Segoe UI Symbol" w:hAnsi="Segoe UI Symbol"/>
          <w:color w:val="2B4C3F"/>
          <w:sz w:val="96"/>
          <w:szCs w:val="96"/>
        </w:rPr>
        <w:t xml:space="preserve">♚</w:t>
      </w:r>
    </w:p>
    <w:p>
      <w:pPr>
        <w:spacing w:after="200"/>
      </w:pPr>
    </w:p>
    <w:p>
      <w:pPr>
        <w:spacing w:after="100"/>
        <w:jc w:val="center"/>
      </w:pPr>
      <w:r>
        <w:rPr>
          <w:rFonts w:ascii="Georgia" w:cs="Georgia" w:eastAsia="Georgia" w:hAnsi="Georgia"/>
          <w:b/>
          <w:bCs/>
          <w:color w:val="888888"/>
          <w:spacing w:val="200"/>
          <w:sz w:val="20"/>
          <w:szCs w:val="20"/>
        </w:rPr>
        <w:t xml:space="preserve">PRODUCT REQUIREMENTS DOCUMENT</w:t>
      </w:r>
    </w:p>
    <w:p>
      <w:pPr>
        <w:spacing w:after="80"/>
        <w:jc w:val="center"/>
      </w:pPr>
      <w:r>
        <w:rPr>
          <w:rFonts w:ascii="Georgia" w:cs="Georgia" w:eastAsia="Georgia" w:hAnsi="Georgia"/>
          <w:b/>
          <w:bCs/>
          <w:color w:val="2B4C3F"/>
          <w:sz w:val="52"/>
          <w:szCs w:val="52"/>
        </w:rPr>
        <w:t xml:space="preserve">Chess Opening Repertoire Trainer</w:t>
      </w:r>
    </w:p>
    <w:p>
      <w:pPr>
        <w:spacing w:after="300"/>
        <w:jc w:val="center"/>
      </w:pPr>
      <w:r>
        <w:rPr>
          <w:rFonts w:ascii="Arial" w:cs="Arial" w:eastAsia="Arial" w:hAnsi="Arial"/>
          <w:i/>
          <w:iCs/>
          <w:color w:val="555555"/>
          <w:sz w:val="24"/>
          <w:szCs w:val="24"/>
        </w:rPr>
        <w:t xml:space="preserve">Scripted Variation Drilling with Interactive Opening Trees</w:t>
      </w:r>
    </w:p>
    <w:p>
      <w:pPr>
        <w:pBdr>
          <w:bottom w:val="single" w:color="D0C8B8" w:sz="2" w:space="1"/>
        </w:pBdr>
        <w:spacing w:before="200" w:after="200"/>
      </w:pPr>
    </w:p>
    <w:p>
      <w:pPr>
        <w:spacing w:after="60"/>
        <w:jc w:val="center"/>
      </w:pPr>
      <w:r>
        <w:rPr>
          <w:rFonts w:ascii="Arial" w:cs="Arial" w:eastAsia="Arial" w:hAnsi="Arial"/>
          <w:color w:val="888888"/>
          <w:sz w:val="22"/>
          <w:szCs w:val="22"/>
        </w:rPr>
        <w:t xml:space="preserve">Version 1.0  •  March 2026</w:t>
      </w:r>
    </w:p>
    <w:p>
      <w:pPr>
        <w:jc w:val="center"/>
      </w:pPr>
      <w:r>
        <w:rPr>
          <w:rFonts w:ascii="Arial" w:cs="Arial" w:eastAsia="Arial" w:hAnsi="Arial"/>
          <w:color w:val="888888"/>
          <w:sz w:val="22"/>
          <w:szCs w:val="22"/>
        </w:rPr>
        <w:t xml:space="preserve">Initial Course: The Italian Game (1.e4 e5 2.Nf3 Nc6 3.Bc4)</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40" w:line="300"/>
        <w:jc w:val="left"/>
      </w:pPr>
      <w:r>
        <w:rPr>
          <w:rFonts w:ascii="Arial" w:cs="Arial" w:eastAsia="Arial" w:hAnsi="Arial"/>
          <w:color w:val="1A1A1A"/>
          <w:sz w:val="22"/>
          <w:szCs w:val="22"/>
        </w:rPr>
        <w:t xml:space="preserve">This document defines the product requirements for a chess opening repertoire trainer that teaches players to master opening variations through scripted, repeatable drilling. Unlike playing against a chess engine (which introduces unpredictable responses), this product presents curated, pre-authored variation lines that the user plays through from memory — building pattern recognition and recall through focused repetition.</w:t>
      </w:r>
    </w:p>
    <w:p>
      <w:pPr>
        <w:spacing w:after="140" w:line="300"/>
        <w:jc w:val="left"/>
      </w:pPr>
      <w:r>
        <w:rPr>
          <w:rFonts w:ascii="Arial" w:cs="Arial" w:eastAsia="Arial" w:hAnsi="Arial"/>
          <w:color w:val="1A1A1A"/>
          <w:sz w:val="22"/>
          <w:szCs w:val="22"/>
        </w:rPr>
        <w:t xml:space="preserve">The initial release will focus on a single, deeply comprehensive course: The Italian Game (1.e4 e5 2.Nf3 Nc6 3.Bc4). This opening was selected because it branches into some of the most popular and interconnected systems in chess — the Giuoco Piano, the Evans Gambit, the Two Knights Defense, the Fried Liver Attack, the Traxler Counterattack, and numerous sidelines — making it an ideal candidate for demonstrating how a single opening trunk can be decomposed into a branching tree of trainable variations.</w:t>
      </w:r>
    </w:p>
    <w:p>
      <w:pPr>
        <w:spacing w:after="140" w:line="300"/>
        <w:jc w:val="left"/>
      </w:pPr>
      <w:r>
        <w:rPr>
          <w:rFonts w:ascii="Arial" w:cs="Arial" w:eastAsia="Arial" w:hAnsi="Arial"/>
          <w:color w:val="1A1A1A"/>
          <w:sz w:val="22"/>
          <w:szCs w:val="22"/>
        </w:rPr>
        <w:t xml:space="preserve">A core differentiating feature is the Interactive Variation Tree: a visual, explorable map of how the opening branches at each critical decision point. This tree serves both as a navigation tool and as a conceptual aid, helping users understand how all the variations they are learning relate to one another.</w:t>
      </w:r>
    </w:p>
    <w:p>
      <w:pPr>
        <w:pBdr>
          <w:bottom w:val="single" w:color="D0C8B8" w:sz="2" w:space="1"/>
        </w:pBdr>
        <w:spacing w:before="200" w:after="200"/>
      </w:pPr>
    </w:p>
    <w:p>
      <w:pPr>
        <w:pStyle w:val="Heading1"/>
      </w:pPr>
      <w:r>
        <w:t xml:space="preserve">2. Competitive Analysis</w:t>
      </w:r>
    </w:p>
    <w:p>
      <w:pPr>
        <w:spacing w:after="140" w:line="300"/>
        <w:jc w:val="left"/>
      </w:pPr>
      <w:r>
        <w:rPr>
          <w:rFonts w:ascii="Arial" w:cs="Arial" w:eastAsia="Arial" w:hAnsi="Arial"/>
          <w:color w:val="1A1A1A"/>
          <w:sz w:val="22"/>
          <w:szCs w:val="22"/>
        </w:rPr>
        <w:t xml:space="preserve">Two existing products closely match the model we intend to build. Understanding their strengths and gaps informs our product decisions.</w:t>
      </w:r>
    </w:p>
    <w:p>
      <w:pPr>
        <w:pStyle w:val="Heading2"/>
      </w:pPr>
      <w:r>
        <w:t xml:space="preserve">2.1 Chessreps.com</w:t>
      </w:r>
    </w:p>
    <w:p>
      <w:pPr>
        <w:spacing w:after="140" w:line="300"/>
        <w:jc w:val="left"/>
      </w:pPr>
      <w:r>
        <w:rPr>
          <w:rFonts w:ascii="Arial" w:cs="Arial" w:eastAsia="Arial" w:hAnsi="Arial"/>
          <w:color w:val="1A1A1A"/>
          <w:sz w:val="22"/>
          <w:szCs w:val="22"/>
        </w:rPr>
        <w:t xml:space="preserve">Chessreps structures each opening as a “course” containing multiple scripted “lines.” Each line is a single path through the opening tree. The user plays their side’s moves; the opponent’s moves are automatic and predetermined. This is the closest existing product to our target model.</w:t>
      </w:r>
    </w:p>
    <w:p>
      <w:pPr>
        <w:pStyle w:val="ListParagraph"/>
        <w:numPr>
          <w:ilvl w:val="0"/>
          <w:numId w:val="2"/>
        </w:numPr>
        <w:spacing w:after="80" w:line="280"/>
      </w:pPr>
      <w:r>
        <w:rPr>
          <w:rFonts w:ascii="Arial" w:cs="Arial" w:eastAsia="Arial" w:hAnsi="Arial"/>
          <w:color w:val="1A1A1A"/>
          <w:sz w:val="22"/>
          <w:szCs w:val="22"/>
        </w:rPr>
        <w:t xml:space="preserve">Modes: Learn (with hints and explanations), Practice (no hints, pure recall), Drill (streak-based accuracy test), Time Trials (timed recall under pressure), Puzzles (tactical positions from real games featuring the opening)</w:t>
      </w:r>
    </w:p>
    <w:p>
      <w:pPr>
        <w:pStyle w:val="ListParagraph"/>
        <w:numPr>
          <w:ilvl w:val="0"/>
          <w:numId w:val="2"/>
        </w:numPr>
        <w:spacing w:after="80" w:line="280"/>
      </w:pPr>
      <w:r>
        <w:rPr>
          <w:rFonts w:ascii="Arial" w:cs="Arial" w:eastAsia="Arial" w:hAnsi="Arial"/>
          <w:color w:val="1A1A1A"/>
          <w:sz w:val="22"/>
          <w:szCs w:val="22"/>
        </w:rPr>
        <w:t xml:space="preserve">Spaced repetition: Confidence scoring per line determines surfacing frequency — weak lines appear more often</w:t>
      </w:r>
    </w:p>
    <w:p>
      <w:pPr>
        <w:pStyle w:val="ListParagraph"/>
        <w:numPr>
          <w:ilvl w:val="0"/>
          <w:numId w:val="2"/>
        </w:numPr>
        <w:spacing w:after="80" w:line="280"/>
      </w:pPr>
      <w:r>
        <w:rPr>
          <w:rFonts w:ascii="Arial" w:cs="Arial" w:eastAsia="Arial" w:hAnsi="Arial"/>
          <w:color w:val="1A1A1A"/>
          <w:sz w:val="22"/>
          <w:szCs w:val="22"/>
        </w:rPr>
        <w:t xml:space="preserve">Community courses: Users can author and share their own courses</w:t>
      </w:r>
    </w:p>
    <w:p>
      <w:pPr>
        <w:pStyle w:val="ListParagraph"/>
        <w:numPr>
          <w:ilvl w:val="0"/>
          <w:numId w:val="2"/>
        </w:numPr>
        <w:spacing w:after="80" w:line="280"/>
      </w:pPr>
      <w:r>
        <w:rPr>
          <w:rFonts w:ascii="Arial" w:cs="Arial" w:eastAsia="Arial" w:hAnsi="Arial"/>
          <w:color w:val="1A1A1A"/>
          <w:sz w:val="22"/>
          <w:szCs w:val="22"/>
        </w:rPr>
        <w:t xml:space="preserve">Real-game data: Lines are sourced from millions of Lichess games at the user’s rating range</w:t>
      </w:r>
    </w:p>
    <w:p>
      <w:pPr>
        <w:pStyle w:val="ListParagraph"/>
        <w:numPr>
          <w:ilvl w:val="0"/>
          <w:numId w:val="2"/>
        </w:numPr>
        <w:spacing w:after="140" w:line="280"/>
      </w:pPr>
      <w:r>
        <w:rPr>
          <w:rFonts w:ascii="Arial" w:cs="Arial" w:eastAsia="Arial" w:hAnsi="Arial"/>
          <w:color w:val="1A1A1A"/>
          <w:sz w:val="22"/>
          <w:szCs w:val="22"/>
        </w:rPr>
        <w:t xml:space="preserve">Gap: No visual variation tree. No way to see how lines relate to each other spatially. Navigation between lines is sequential, not structural</w:t>
      </w:r>
    </w:p>
    <w:p>
      <w:pPr>
        <w:pStyle w:val="Heading2"/>
      </w:pPr>
      <w:r>
        <w:t xml:space="preserve">2.2 Chessly.com</w:t>
      </w:r>
    </w:p>
    <w:p>
      <w:pPr>
        <w:spacing w:after="140" w:line="300"/>
        <w:jc w:val="left"/>
      </w:pPr>
      <w:r>
        <w:rPr>
          <w:rFonts w:ascii="Arial" w:cs="Arial" w:eastAsia="Arial" w:hAnsi="Arial"/>
          <w:color w:val="1A1A1A"/>
          <w:sz w:val="22"/>
          <w:szCs w:val="22"/>
        </w:rPr>
        <w:t xml:space="preserve">Chessly (by GothamChess / Levy Rozman) is a video-lecture platform with paired interactive study boards. Each course contains 3–12 hours of video broken into chapters. The interactive board follows the video lesson move-by-move.</w:t>
      </w:r>
    </w:p>
    <w:p>
      <w:pPr>
        <w:pStyle w:val="ListParagraph"/>
        <w:numPr>
          <w:ilvl w:val="0"/>
          <w:numId w:val="2"/>
        </w:numPr>
        <w:spacing w:after="80" w:line="280"/>
      </w:pPr>
      <w:r>
        <w:rPr>
          <w:rFonts w:ascii="Arial" w:cs="Arial" w:eastAsia="Arial" w:hAnsi="Arial"/>
          <w:color w:val="1A1A1A"/>
          <w:sz w:val="22"/>
          <w:szCs w:val="22"/>
        </w:rPr>
        <w:t xml:space="preserve">Strength: High production quality, engaging narration, conceptual explanations alongside moves</w:t>
      </w:r>
    </w:p>
    <w:p>
      <w:pPr>
        <w:pStyle w:val="ListParagraph"/>
        <w:numPr>
          <w:ilvl w:val="0"/>
          <w:numId w:val="2"/>
        </w:numPr>
        <w:spacing w:after="80" w:line="280"/>
      </w:pPr>
      <w:r>
        <w:rPr>
          <w:rFonts w:ascii="Arial" w:cs="Arial" w:eastAsia="Arial" w:hAnsi="Arial"/>
          <w:color w:val="1A1A1A"/>
          <w:sz w:val="22"/>
          <w:szCs w:val="22"/>
        </w:rPr>
        <w:t xml:space="preserve">Strength: Covers 70+ openings and skills courses</w:t>
      </w:r>
    </w:p>
    <w:p>
      <w:pPr>
        <w:pStyle w:val="ListParagraph"/>
        <w:numPr>
          <w:ilvl w:val="0"/>
          <w:numId w:val="2"/>
        </w:numPr>
        <w:spacing w:after="140" w:line="280"/>
      </w:pPr>
      <w:r>
        <w:rPr>
          <w:rFonts w:ascii="Arial" w:cs="Arial" w:eastAsia="Arial" w:hAnsi="Arial"/>
          <w:color w:val="1A1A1A"/>
          <w:sz w:val="22"/>
          <w:szCs w:val="22"/>
        </w:rPr>
        <w:t xml:space="preserve">Gap: Passive learning model — less emphasis on active recall and drilling. No spaced repetition. No scripted line-by-line practice. Better for initial understanding than long-term retention</w:t>
      </w:r>
    </w:p>
    <w:p>
      <w:pPr>
        <w:pStyle w:val="Heading2"/>
      </w:pPr>
      <w:r>
        <w:t xml:space="preserve">2.3 Our Differentiators</w:t>
      </w:r>
    </w:p>
    <w:p>
      <w:pPr>
        <w:pStyle w:val="ListParagraph"/>
        <w:numPr>
          <w:ilvl w:val="0"/>
          <w:numId w:val="3"/>
        </w:numPr>
        <w:spacing w:after="80" w:line="280"/>
      </w:pPr>
      <w:r>
        <w:rPr>
          <w:rFonts w:ascii="Arial" w:cs="Arial" w:eastAsia="Arial" w:hAnsi="Arial"/>
          <w:color w:val="1A1A1A"/>
          <w:sz w:val="22"/>
          <w:szCs w:val="22"/>
        </w:rPr>
        <w:t xml:space="preserve">Interactive Variation Tree: A visual, zoomable, clickable tree showing every branch point. No competitor offers this. Users can see the entire opening’s topology at a glance and tap any node to begin drilling that line.</w:t>
      </w:r>
    </w:p>
    <w:p>
      <w:pPr>
        <w:pStyle w:val="ListParagraph"/>
        <w:numPr>
          <w:ilvl w:val="0"/>
          <w:numId w:val="3"/>
        </w:numPr>
        <w:spacing w:after="80" w:line="280"/>
      </w:pPr>
      <w:r>
        <w:rPr>
          <w:rFonts w:ascii="Arial" w:cs="Arial" w:eastAsia="Arial" w:hAnsi="Arial"/>
          <w:color w:val="1A1A1A"/>
          <w:sz w:val="22"/>
          <w:szCs w:val="22"/>
        </w:rPr>
        <w:t xml:space="preserve">Deep single-opening coverage at launch: Rather than launching with 25 shallow courses, we ship one opening with exhaustive variation depth — every named variation, every common unnamed sideline, every trap.</w:t>
      </w:r>
    </w:p>
    <w:p>
      <w:pPr>
        <w:pStyle w:val="ListParagraph"/>
        <w:numPr>
          <w:ilvl w:val="0"/>
          <w:numId w:val="3"/>
        </w:numPr>
        <w:spacing w:after="80" w:line="280"/>
      </w:pPr>
      <w:r>
        <w:rPr>
          <w:rFonts w:ascii="Arial" w:cs="Arial" w:eastAsia="Arial" w:hAnsi="Arial"/>
          <w:color w:val="1A1A1A"/>
          <w:sz w:val="22"/>
          <w:szCs w:val="22"/>
        </w:rPr>
        <w:t xml:space="preserve">Contextual explanations: Every move in every line carries a human-written explanation of the strategic reasoning, not just the notation.</w:t>
      </w:r>
    </w:p>
    <w:p>
      <w:pPr>
        <w:pStyle w:val="ListParagraph"/>
        <w:numPr>
          <w:ilvl w:val="0"/>
          <w:numId w:val="3"/>
        </w:numPr>
        <w:spacing w:after="140" w:line="280"/>
      </w:pPr>
      <w:r>
        <w:rPr>
          <w:rFonts w:ascii="Arial" w:cs="Arial" w:eastAsia="Arial" w:hAnsi="Arial"/>
          <w:color w:val="1A1A1A"/>
          <w:sz w:val="22"/>
          <w:szCs w:val="22"/>
        </w:rPr>
        <w:t xml:space="preserve">Both-sides training: Each variation can be practiced from both White and Black’s perspective, so users learn how to play the opening AND how to respond to it.</w:t>
      </w:r>
    </w:p>
    <w:p>
      <w:pPr>
        <w:pBdr>
          <w:bottom w:val="single" w:color="D0C8B8" w:sz="2" w:space="1"/>
        </w:pBdr>
        <w:spacing w:before="200" w:after="200"/>
      </w:pPr>
    </w:p>
    <w:p>
      <w:pPr>
        <w:pStyle w:val="Heading1"/>
      </w:pPr>
      <w:r>
        <w:t xml:space="preserve">3. Product Concept &amp; Architecture</w:t>
      </w:r>
    </w:p>
    <w:p>
      <w:pPr>
        <w:pStyle w:val="Heading2"/>
      </w:pPr>
      <w:r>
        <w:t xml:space="preserve">3.1 Core Mental Model</w:t>
      </w:r>
    </w:p>
    <w:p>
      <w:pPr>
        <w:spacing w:after="140" w:line="300"/>
        <w:jc w:val="left"/>
      </w:pPr>
      <w:r>
        <w:rPr>
          <w:rFonts w:ascii="Arial" w:cs="Arial" w:eastAsia="Arial" w:hAnsi="Arial"/>
          <w:color w:val="1A1A1A"/>
          <w:sz w:val="22"/>
          <w:szCs w:val="22"/>
        </w:rPr>
        <w:t xml:space="preserve">An opening is a tree. The trunk is the common move sequence that defines the opening (e.g., 1.e4 e5 2.Nf3 Nc6 3.Bc4 for the Italian Game). At certain critical moves, the tree branches — one player deviates from the trunk, and a new variation begins. Each complete path from root to leaf is a “line.”</w:t>
      </w:r>
    </w:p>
    <w:p>
      <w:pPr>
        <w:spacing w:after="140" w:line="300"/>
        <w:jc w:val="left"/>
      </w:pPr>
      <w:r>
        <w:rPr>
          <w:rFonts w:ascii="Arial" w:cs="Arial" w:eastAsia="Arial" w:hAnsi="Arial"/>
          <w:color w:val="1A1A1A"/>
          <w:sz w:val="22"/>
          <w:szCs w:val="22"/>
        </w:rPr>
        <w:t xml:space="preserve">A “course” is the entire tree for one opening. It contains all its lines, grouped into categories by the major branch point. Users do not play against an engine; they play through scripted lines. The opponent’s moves are predetermined and fire automatically. The user’s job is to recall and execute the correct moves for their side.</w:t>
      </w:r>
    </w:p>
    <w:p>
      <w:pPr>
        <w:pStyle w:val="Heading2"/>
      </w:pPr>
      <w:r>
        <w:t xml:space="preserve">3.2 Structural Hierarchy</w:t>
      </w:r>
    </w:p>
    <w:p>
      <w:pPr>
        <w:pStyle w:val="ListParagraph"/>
        <w:numPr>
          <w:ilvl w:val="0"/>
          <w:numId w:val="2"/>
        </w:numPr>
        <w:spacing w:after="80" w:line="280"/>
      </w:pPr>
      <w:r>
        <w:rPr>
          <w:rFonts w:ascii="Arial" w:cs="Arial" w:eastAsia="Arial" w:hAnsi="Arial"/>
          <w:b/>
          <w:bCs/>
          <w:color w:val="1A1A1A"/>
          <w:sz w:val="22"/>
          <w:szCs w:val="22"/>
        </w:rPr>
        <w:t xml:space="preserve">Course: </w:t>
      </w:r>
      <w:r>
        <w:rPr>
          <w:rFonts w:ascii="Arial" w:cs="Arial" w:eastAsia="Arial" w:hAnsi="Arial"/>
          <w:color w:val="1A1A1A"/>
          <w:sz w:val="22"/>
          <w:szCs w:val="22"/>
        </w:rPr>
        <w:t xml:space="preserve">One opening system (e.g., “The Italian Game”). Contains all variations.</w:t>
      </w:r>
    </w:p>
    <w:p>
      <w:pPr>
        <w:pStyle w:val="ListParagraph"/>
        <w:numPr>
          <w:ilvl w:val="0"/>
          <w:numId w:val="2"/>
        </w:numPr>
        <w:spacing w:after="80" w:line="280"/>
      </w:pPr>
      <w:r>
        <w:rPr>
          <w:rFonts w:ascii="Arial" w:cs="Arial" w:eastAsia="Arial" w:hAnsi="Arial"/>
          <w:b/>
          <w:bCs/>
          <w:color w:val="1A1A1A"/>
          <w:sz w:val="22"/>
          <w:szCs w:val="22"/>
        </w:rPr>
        <w:t xml:space="preserve">Category: </w:t>
      </w:r>
      <w:r>
        <w:rPr>
          <w:rFonts w:ascii="Arial" w:cs="Arial" w:eastAsia="Arial" w:hAnsi="Arial"/>
          <w:color w:val="1A1A1A"/>
          <w:sz w:val="22"/>
          <w:szCs w:val="22"/>
        </w:rPr>
        <w:t xml:space="preserve">A grouping of related lines by the major branch point (e.g., “Giuoco Piano,” “Two Knights / Fried Liver,” “Sidelines”).</w:t>
      </w:r>
    </w:p>
    <w:p>
      <w:pPr>
        <w:pStyle w:val="ListParagraph"/>
        <w:numPr>
          <w:ilvl w:val="0"/>
          <w:numId w:val="2"/>
        </w:numPr>
        <w:spacing w:after="80" w:line="280"/>
      </w:pPr>
      <w:r>
        <w:rPr>
          <w:rFonts w:ascii="Arial" w:cs="Arial" w:eastAsia="Arial" w:hAnsi="Arial"/>
          <w:b/>
          <w:bCs/>
          <w:color w:val="1A1A1A"/>
          <w:sz w:val="22"/>
          <w:szCs w:val="22"/>
        </w:rPr>
        <w:t xml:space="preserve">Line: </w:t>
      </w:r>
      <w:r>
        <w:rPr>
          <w:rFonts w:ascii="Arial" w:cs="Arial" w:eastAsia="Arial" w:hAnsi="Arial"/>
          <w:color w:val="1A1A1A"/>
          <w:sz w:val="22"/>
          <w:szCs w:val="22"/>
        </w:rPr>
        <w:t xml:space="preserve">A single scripted path through the tree, from the first move to a defined endpoint (typically 10–20 moves deep). Each line has a name (if it has one), a description, and per-move explanations.</w:t>
      </w:r>
    </w:p>
    <w:p>
      <w:pPr>
        <w:pStyle w:val="ListParagraph"/>
        <w:numPr>
          <w:ilvl w:val="0"/>
          <w:numId w:val="2"/>
        </w:numPr>
        <w:spacing w:after="140" w:line="280"/>
      </w:pPr>
      <w:r>
        <w:rPr>
          <w:rFonts w:ascii="Arial" w:cs="Arial" w:eastAsia="Arial" w:hAnsi="Arial"/>
          <w:b/>
          <w:bCs/>
          <w:color w:val="1A1A1A"/>
          <w:sz w:val="22"/>
          <w:szCs w:val="22"/>
        </w:rPr>
        <w:t xml:space="preserve">Move: </w:t>
      </w:r>
      <w:r>
        <w:rPr>
          <w:rFonts w:ascii="Arial" w:cs="Arial" w:eastAsia="Arial" w:hAnsi="Arial"/>
          <w:color w:val="1A1A1A"/>
          <w:sz w:val="22"/>
          <w:szCs w:val="22"/>
        </w:rPr>
        <w:t xml:space="preserve">A single ply. Contains: the square-to-square move data, algebraic notation, and an optional human-written explanation.</w:t>
      </w:r>
    </w:p>
    <w:p>
      <w:pPr>
        <w:pStyle w:val="Heading2"/>
      </w:pPr>
      <w:r>
        <w:t xml:space="preserve">3.3 Why Scripted Lines, Not Engine Play</w:t>
      </w:r>
    </w:p>
    <w:p>
      <w:pPr>
        <w:spacing w:after="140" w:line="300"/>
        <w:jc w:val="left"/>
      </w:pPr>
      <w:r>
        <w:rPr>
          <w:rFonts w:ascii="Arial" w:cs="Arial" w:eastAsia="Arial" w:hAnsi="Arial"/>
          <w:color w:val="1A1A1A"/>
          <w:sz w:val="22"/>
          <w:szCs w:val="22"/>
        </w:rPr>
        <w:t xml:space="preserve">Playing against a chess engine provides variety but undermines repertoire training. An engine may play any legal move, meaning the user rarely encounters the specific positions they need to memorize. The scripted model guarantees that every practice session covers the exact positions the user will face in real games when opponents play common or critical moves. This is the “shooting practice” model: focused, repeatable reps on specific patterns.</w:t>
      </w:r>
    </w:p>
    <w:p>
      <w:pPr>
        <w:pBdr>
          <w:bottom w:val="single" w:color="D0C8B8" w:sz="2" w:space="1"/>
        </w:pBdr>
        <w:spacing w:before="200" w:after="200"/>
      </w:pPr>
    </w:p>
    <w:p>
      <w:pPr>
        <w:pStyle w:val="Heading1"/>
      </w:pPr>
      <w:r>
        <w:t xml:space="preserve">4. Course Content: The Italian Game — Complete Variation Map</w:t>
      </w:r>
    </w:p>
    <w:p>
      <w:pPr>
        <w:spacing w:after="140" w:line="300"/>
        <w:jc w:val="left"/>
      </w:pPr>
      <w:r>
        <w:rPr>
          <w:rFonts w:ascii="Arial" w:cs="Arial" w:eastAsia="Arial" w:hAnsi="Arial"/>
          <w:color w:val="1A1A1A"/>
          <w:sz w:val="22"/>
          <w:szCs w:val="22"/>
        </w:rPr>
        <w:t xml:space="preserve">The Italian Game arises after 1.e4 e5 2.Nf3 Nc6 3.Bc4. Black’s third move creates the first major branch point, splitting the tree into three main paths: 3...Bc5 (the Giuoco Piano complex), 3...Nf6 (the Two Knights Defense complex), and several rarer sidelines. Below is the exhaustive variation map that defines the course content.</w:t>
      </w:r>
    </w:p>
    <w:p>
      <w:pPr>
        <w:spacing w:after="100"/>
      </w:pPr>
    </w:p>
    <w:p>
      <w:pPr>
        <w:pStyle w:val="Heading2"/>
      </w:pPr>
      <w:r>
        <w:t xml:space="preserve">4.1 Branch A: 3...Bc5 — The Giuoco Piano Complex</w:t>
      </w:r>
    </w:p>
    <w:p>
      <w:pPr>
        <w:spacing w:after="140" w:line="300"/>
        <w:jc w:val="left"/>
      </w:pPr>
      <w:r>
        <w:rPr>
          <w:rFonts w:ascii="Arial" w:cs="Arial" w:eastAsia="Arial" w:hAnsi="Arial"/>
          <w:color w:val="1A1A1A"/>
          <w:sz w:val="22"/>
          <w:szCs w:val="22"/>
        </w:rPr>
        <w:t xml:space="preserve">After 1.e4 e5 2.Nf3 Nc6 3.Bc4 Bc5, both sides have developed a bishop and knight. White’s main fourth-move options create the next tier of branches.</w:t>
      </w:r>
    </w:p>
    <w:p>
      <w:pPr>
        <w:pStyle w:val="Heading3"/>
      </w:pPr>
      <w:r>
        <w:t xml:space="preserve">4.1.1 Giuoco Pianissimo (4.d3)</w:t>
      </w:r>
    </w:p>
    <w:p>
      <w:pPr>
        <w:spacing w:after="140" w:line="300"/>
        <w:jc w:val="left"/>
      </w:pPr>
      <w:r>
        <w:rPr>
          <w:rFonts w:ascii="Arial" w:cs="Arial" w:eastAsia="Arial" w:hAnsi="Arial"/>
          <w:color w:val="1A1A1A"/>
          <w:sz w:val="22"/>
          <w:szCs w:val="22"/>
        </w:rPr>
        <w:t xml:space="preserve">The modern, solid approach. White keeps the center closed and maneuvers patiently. This is the most popular system at the elite level today. The typical continuation runs 4.d3 Nf6 5.0-0 d6 6.c3 0-0 7.Re1 a6, preparing queenside expansion. White’s plan involves a later d3–d4 break after sufficient preparation.</w:t>
      </w:r>
    </w:p>
    <w:p>
      <w:pPr>
        <w:pStyle w:val="ListParagraph"/>
        <w:numPr>
          <w:ilvl w:val="0"/>
          <w:numId w:val="2"/>
        </w:numPr>
        <w:spacing w:after="80" w:line="280"/>
      </w:pPr>
      <w:r>
        <w:rPr>
          <w:rFonts w:ascii="Arial" w:cs="Arial" w:eastAsia="Arial" w:hAnsi="Arial"/>
          <w:b/>
          <w:bCs/>
          <w:color w:val="1A1A1A"/>
          <w:sz w:val="22"/>
          <w:szCs w:val="22"/>
        </w:rPr>
        <w:t xml:space="preserve">Line 1 — Main Line with a6: </w:t>
      </w:r>
      <w:r>
        <w:rPr>
          <w:rFonts w:ascii="Arial" w:cs="Arial" w:eastAsia="Arial" w:hAnsi="Arial"/>
          <w:color w:val="1A1A1A"/>
          <w:sz w:val="22"/>
          <w:szCs w:val="22"/>
        </w:rPr>
        <w:t xml:space="preserve">4.d3 Nf6 5.0-0 d6 6.c3 0-0 7.Re1 a6 8.Bb3 Ba7 9.h3 (preventing Bg4) with Nbd2 and eventual d4 to follow. The quintessential slow Italian position.</w:t>
      </w:r>
    </w:p>
    <w:p>
      <w:pPr>
        <w:pStyle w:val="ListParagraph"/>
        <w:numPr>
          <w:ilvl w:val="0"/>
          <w:numId w:val="2"/>
        </w:numPr>
        <w:spacing w:after="80" w:line="280"/>
      </w:pPr>
      <w:r>
        <w:rPr>
          <w:rFonts w:ascii="Arial" w:cs="Arial" w:eastAsia="Arial" w:hAnsi="Arial"/>
          <w:b/>
          <w:bCs/>
          <w:color w:val="1A1A1A"/>
          <w:sz w:val="22"/>
          <w:szCs w:val="22"/>
        </w:rPr>
        <w:t xml:space="preserve">Line 2 — Main Line with h6: </w:t>
      </w:r>
      <w:r>
        <w:rPr>
          <w:rFonts w:ascii="Arial" w:cs="Arial" w:eastAsia="Arial" w:hAnsi="Arial"/>
          <w:color w:val="1A1A1A"/>
          <w:sz w:val="22"/>
          <w:szCs w:val="22"/>
        </w:rPr>
        <w:t xml:space="preserve">4.d3 Nf6 5.0-0 d6 6.c3 0-0 7.Re1 h6 (preventing Bg5 and Ng5). White proceeds with Nbd2, Bb3, Nf1–g3, aiming for a kingside buildup.</w:t>
      </w:r>
    </w:p>
    <w:p>
      <w:pPr>
        <w:pStyle w:val="ListParagraph"/>
        <w:numPr>
          <w:ilvl w:val="0"/>
          <w:numId w:val="2"/>
        </w:numPr>
        <w:spacing w:after="80" w:line="280"/>
      </w:pPr>
      <w:r>
        <w:rPr>
          <w:rFonts w:ascii="Arial" w:cs="Arial" w:eastAsia="Arial" w:hAnsi="Arial"/>
          <w:b/>
          <w:bCs/>
          <w:color w:val="1A1A1A"/>
          <w:sz w:val="22"/>
          <w:szCs w:val="22"/>
        </w:rPr>
        <w:t xml:space="preserve">Line 3 — Dubois Variation: </w:t>
      </w:r>
      <w:r>
        <w:rPr>
          <w:rFonts w:ascii="Arial" w:cs="Arial" w:eastAsia="Arial" w:hAnsi="Arial"/>
          <w:color w:val="1A1A1A"/>
          <w:sz w:val="22"/>
          <w:szCs w:val="22"/>
        </w:rPr>
        <w:t xml:space="preserve">4.d3 f5 5.Ng5 f4 — a rare aggressive try by Black. White should respond with d4, exploiting the weakened kingside.</w:t>
      </w:r>
    </w:p>
    <w:p>
      <w:pPr>
        <w:pStyle w:val="ListParagraph"/>
        <w:numPr>
          <w:ilvl w:val="0"/>
          <w:numId w:val="2"/>
        </w:numPr>
        <w:spacing w:after="140" w:line="280"/>
      </w:pPr>
      <w:r>
        <w:rPr>
          <w:rFonts w:ascii="Arial" w:cs="Arial" w:eastAsia="Arial" w:hAnsi="Arial"/>
          <w:b/>
          <w:bCs/>
          <w:color w:val="1A1A1A"/>
          <w:sz w:val="22"/>
          <w:szCs w:val="22"/>
        </w:rPr>
        <w:t xml:space="preserve">Line 4 — Black plays early d5: </w:t>
      </w:r>
      <w:r>
        <w:rPr>
          <w:rFonts w:ascii="Arial" w:cs="Arial" w:eastAsia="Arial" w:hAnsi="Arial"/>
          <w:color w:val="1A1A1A"/>
          <w:sz w:val="22"/>
          <w:szCs w:val="22"/>
        </w:rPr>
        <w:t xml:space="preserve">4.d3 Nf6 5.0-0 d5 — Black strikes the center early. After 6.exd5 Nxd5 7.Re1 Be6 8.Nbd2, White has comfortable development.</w:t>
      </w:r>
    </w:p>
    <w:p>
      <w:pPr>
        <w:pStyle w:val="Heading3"/>
      </w:pPr>
      <w:r>
        <w:t xml:space="preserve">4.1.2 Giuoco Piano with c3 (4.c3)</w:t>
      </w:r>
    </w:p>
    <w:p>
      <w:pPr>
        <w:spacing w:after="140" w:line="300"/>
        <w:jc w:val="left"/>
      </w:pPr>
      <w:r>
        <w:rPr>
          <w:rFonts w:ascii="Arial" w:cs="Arial" w:eastAsia="Arial" w:hAnsi="Arial"/>
          <w:color w:val="1A1A1A"/>
          <w:sz w:val="22"/>
          <w:szCs w:val="22"/>
        </w:rPr>
        <w:t xml:space="preserve">White prepares the central advance d2–d4. This is the classical approach and leads to the sharpest Giuoco Piano positions. After 4.c3 Nf6, White chooses between the Center Attack (5.d4) and the Giuoco Pianissimo via c3 (5.d3).</w:t>
      </w:r>
    </w:p>
    <w:p>
      <w:pPr>
        <w:pStyle w:val="ListParagraph"/>
        <w:numPr>
          <w:ilvl w:val="0"/>
          <w:numId w:val="2"/>
        </w:numPr>
        <w:spacing w:after="80" w:line="280"/>
      </w:pPr>
      <w:r>
        <w:rPr>
          <w:rFonts w:ascii="Arial" w:cs="Arial" w:eastAsia="Arial" w:hAnsi="Arial"/>
          <w:b/>
          <w:bCs/>
          <w:color w:val="1A1A1A"/>
          <w:sz w:val="22"/>
          <w:szCs w:val="22"/>
        </w:rPr>
        <w:t xml:space="preserve">Line 5 — Center Attack, Main Line: </w:t>
      </w:r>
      <w:r>
        <w:rPr>
          <w:rFonts w:ascii="Arial" w:cs="Arial" w:eastAsia="Arial" w:hAnsi="Arial"/>
          <w:color w:val="1A1A1A"/>
          <w:sz w:val="22"/>
          <w:szCs w:val="22"/>
        </w:rPr>
        <w:t xml:space="preserve">4.c3 Nf6 5.d4 exd4 6.cxd4 Bb4+ 7.Bd2 Bxd2+ 8.Nbxd2 d5. This is the most critical test of the Italian. Play becomes deeply concrete with chances for both sides.</w:t>
      </w:r>
    </w:p>
    <w:p>
      <w:pPr>
        <w:pStyle w:val="ListParagraph"/>
        <w:numPr>
          <w:ilvl w:val="0"/>
          <w:numId w:val="2"/>
        </w:numPr>
        <w:spacing w:after="80" w:line="280"/>
      </w:pPr>
      <w:r>
        <w:rPr>
          <w:rFonts w:ascii="Arial" w:cs="Arial" w:eastAsia="Arial" w:hAnsi="Arial"/>
          <w:b/>
          <w:bCs/>
          <w:color w:val="1A1A1A"/>
          <w:sz w:val="22"/>
          <w:szCs w:val="22"/>
        </w:rPr>
        <w:t xml:space="preserve">Line 6 — Center Attack, Nxe4 Endgame: </w:t>
      </w:r>
      <w:r>
        <w:rPr>
          <w:rFonts w:ascii="Arial" w:cs="Arial" w:eastAsia="Arial" w:hAnsi="Arial"/>
          <w:color w:val="1A1A1A"/>
          <w:sz w:val="22"/>
          <w:szCs w:val="22"/>
        </w:rPr>
        <w:t xml:space="preserve">4.c3 Nf6 5.d4 exd4 6.cxd4 Bb4+ 7.Bd2 Nxe4 8.Bxb4 Nxb4 9.Bxf7+ Kxf7 10.Qb3+ d5 11.Qxb4. White has a slight edge in this queenless middlegame with more active pieces.</w:t>
      </w:r>
    </w:p>
    <w:p>
      <w:pPr>
        <w:pStyle w:val="ListParagraph"/>
        <w:numPr>
          <w:ilvl w:val="0"/>
          <w:numId w:val="2"/>
        </w:numPr>
        <w:spacing w:after="80" w:line="280"/>
      </w:pPr>
      <w:r>
        <w:rPr>
          <w:rFonts w:ascii="Arial" w:cs="Arial" w:eastAsia="Arial" w:hAnsi="Arial"/>
          <w:b/>
          <w:bCs/>
          <w:color w:val="1A1A1A"/>
          <w:sz w:val="22"/>
          <w:szCs w:val="22"/>
        </w:rPr>
        <w:t xml:space="preserve">Line 7 — Center Attack, Bb6 Retreat: </w:t>
      </w:r>
      <w:r>
        <w:rPr>
          <w:rFonts w:ascii="Arial" w:cs="Arial" w:eastAsia="Arial" w:hAnsi="Arial"/>
          <w:color w:val="1A1A1A"/>
          <w:sz w:val="22"/>
          <w:szCs w:val="22"/>
        </w:rPr>
        <w:t xml:space="preserve">4.c3 Nf6 5.d4 exd4 6.cxd4 Bb6 — Black avoids the check and keeps the bishop active. After 7.d5 Ne7 8.e5 Ng4, sharp play ensues.</w:t>
      </w:r>
    </w:p>
    <w:p>
      <w:pPr>
        <w:pStyle w:val="ListParagraph"/>
        <w:numPr>
          <w:ilvl w:val="0"/>
          <w:numId w:val="2"/>
        </w:numPr>
        <w:spacing w:after="80" w:line="280"/>
      </w:pPr>
      <w:r>
        <w:rPr>
          <w:rFonts w:ascii="Arial" w:cs="Arial" w:eastAsia="Arial" w:hAnsi="Arial"/>
          <w:b/>
          <w:bCs/>
          <w:color w:val="1A1A1A"/>
          <w:sz w:val="22"/>
          <w:szCs w:val="22"/>
        </w:rPr>
        <w:t xml:space="preserve">Line 8 — Pianissimo via c3: </w:t>
      </w:r>
      <w:r>
        <w:rPr>
          <w:rFonts w:ascii="Arial" w:cs="Arial" w:eastAsia="Arial" w:hAnsi="Arial"/>
          <w:color w:val="1A1A1A"/>
          <w:sz w:val="22"/>
          <w:szCs w:val="22"/>
        </w:rPr>
        <w:t xml:space="preserve">4.c3 Nf6 5.d3 — White transposes into a Pianissimo structure but with c3 already committed. This is actually the most common elite continuation: 5...0-0 6.0-0 d6 7.Re1 a6 8.Bb3 Ba7.</w:t>
      </w:r>
    </w:p>
    <w:p>
      <w:pPr>
        <w:pStyle w:val="ListParagraph"/>
        <w:numPr>
          <w:ilvl w:val="0"/>
          <w:numId w:val="2"/>
        </w:numPr>
        <w:spacing w:after="140" w:line="280"/>
      </w:pPr>
      <w:r>
        <w:rPr>
          <w:rFonts w:ascii="Arial" w:cs="Arial" w:eastAsia="Arial" w:hAnsi="Arial"/>
          <w:b/>
          <w:bCs/>
          <w:color w:val="1A1A1A"/>
          <w:sz w:val="22"/>
          <w:szCs w:val="22"/>
        </w:rPr>
        <w:t xml:space="preserve">Line 9 — Black plays early d6: </w:t>
      </w:r>
      <w:r>
        <w:rPr>
          <w:rFonts w:ascii="Arial" w:cs="Arial" w:eastAsia="Arial" w:hAnsi="Arial"/>
          <w:color w:val="1A1A1A"/>
          <w:sz w:val="22"/>
          <w:szCs w:val="22"/>
        </w:rPr>
        <w:t xml:space="preserve">4.c3 d6 — a solid but passive setup. White gains an advantage with 5.d4 exd4 6.cxd4 Bb6 7.Nc3 with easy development and a strong center.</w:t>
      </w:r>
    </w:p>
    <w:p>
      <w:pPr>
        <w:pStyle w:val="Heading3"/>
      </w:pPr>
      <w:r>
        <w:t xml:space="preserve">4.1.3 Italian Gambit (4.d4)</w:t>
      </w:r>
    </w:p>
    <w:p>
      <w:pPr>
        <w:spacing w:after="140" w:line="300"/>
        <w:jc w:val="left"/>
      </w:pPr>
      <w:r>
        <w:rPr>
          <w:rFonts w:ascii="Arial" w:cs="Arial" w:eastAsia="Arial" w:hAnsi="Arial"/>
          <w:color w:val="1A1A1A"/>
          <w:sz w:val="22"/>
          <w:szCs w:val="22"/>
        </w:rPr>
        <w:t xml:space="preserve">White immediately strikes the center. After 4.d4 exd4, the position can transpose into the Scotch Gambit. However, this move order allows Black the unique option 4...Bxd4, which is not available in the standard Scotch.</w:t>
      </w:r>
    </w:p>
    <w:p>
      <w:pPr>
        <w:pStyle w:val="ListParagraph"/>
        <w:numPr>
          <w:ilvl w:val="0"/>
          <w:numId w:val="2"/>
        </w:numPr>
        <w:spacing w:after="80" w:line="280"/>
      </w:pPr>
      <w:r>
        <w:rPr>
          <w:rFonts w:ascii="Arial" w:cs="Arial" w:eastAsia="Arial" w:hAnsi="Arial"/>
          <w:b/>
          <w:bCs/>
          <w:color w:val="1A1A1A"/>
          <w:sz w:val="22"/>
          <w:szCs w:val="22"/>
        </w:rPr>
        <w:t xml:space="preserve">Line 10 — Italian Gambit, exd4: </w:t>
      </w:r>
      <w:r>
        <w:rPr>
          <w:rFonts w:ascii="Arial" w:cs="Arial" w:eastAsia="Arial" w:hAnsi="Arial"/>
          <w:color w:val="1A1A1A"/>
          <w:sz w:val="22"/>
          <w:szCs w:val="22"/>
        </w:rPr>
        <w:t xml:space="preserve">4.d4 exd4 5.0-0 Nf6 6.e5 (the Max Lange Attack setup) d5 7.exf6 dxc4 — extremely sharp play with mutual chances.</w:t>
      </w:r>
    </w:p>
    <w:p>
      <w:pPr>
        <w:pStyle w:val="ListParagraph"/>
        <w:numPr>
          <w:ilvl w:val="0"/>
          <w:numId w:val="2"/>
        </w:numPr>
        <w:spacing w:after="140" w:line="280"/>
      </w:pPr>
      <w:r>
        <w:rPr>
          <w:rFonts w:ascii="Arial" w:cs="Arial" w:eastAsia="Arial" w:hAnsi="Arial"/>
          <w:b/>
          <w:bCs/>
          <w:color w:val="1A1A1A"/>
          <w:sz w:val="22"/>
          <w:szCs w:val="22"/>
        </w:rPr>
        <w:t xml:space="preserve">Line 11 — Italian Gambit, Bxd4: </w:t>
      </w:r>
      <w:r>
        <w:rPr>
          <w:rFonts w:ascii="Arial" w:cs="Arial" w:eastAsia="Arial" w:hAnsi="Arial"/>
          <w:color w:val="1A1A1A"/>
          <w:sz w:val="22"/>
          <w:szCs w:val="22"/>
        </w:rPr>
        <w:t xml:space="preserve">4.d4 Bxd4 5.Nxd4 Nxd4 6.Be3 — White has the bishop pair and a lead in development. Black must play carefully.</w:t>
      </w:r>
    </w:p>
    <w:p>
      <w:pPr>
        <w:pStyle w:val="Heading3"/>
      </w:pPr>
      <w:r>
        <w:t xml:space="preserve">4.1.4 Evans Gambit (4.b4)</w:t>
      </w:r>
    </w:p>
    <w:p>
      <w:pPr>
        <w:spacing w:after="140" w:line="300"/>
        <w:jc w:val="left"/>
      </w:pPr>
      <w:r>
        <w:rPr>
          <w:rFonts w:ascii="Arial" w:cs="Arial" w:eastAsia="Arial" w:hAnsi="Arial"/>
          <w:color w:val="1A1A1A"/>
          <w:sz w:val="22"/>
          <w:szCs w:val="22"/>
        </w:rPr>
        <w:t xml:space="preserve">Captain Evans’ famous pawn sacrifice. White gives up the b-pawn to gain rapid development, open lines, and a dangerous attack. A romantic-era weapon that remains highly effective at club level.</w:t>
      </w:r>
    </w:p>
    <w:p>
      <w:pPr>
        <w:pStyle w:val="ListParagraph"/>
        <w:numPr>
          <w:ilvl w:val="0"/>
          <w:numId w:val="2"/>
        </w:numPr>
        <w:spacing w:after="80" w:line="280"/>
      </w:pPr>
      <w:r>
        <w:rPr>
          <w:rFonts w:ascii="Arial" w:cs="Arial" w:eastAsia="Arial" w:hAnsi="Arial"/>
          <w:b/>
          <w:bCs/>
          <w:color w:val="1A1A1A"/>
          <w:sz w:val="22"/>
          <w:szCs w:val="22"/>
        </w:rPr>
        <w:t xml:space="preserve">Line 12 — Evans Gambit Accepted, Ba5: </w:t>
      </w:r>
      <w:r>
        <w:rPr>
          <w:rFonts w:ascii="Arial" w:cs="Arial" w:eastAsia="Arial" w:hAnsi="Arial"/>
          <w:color w:val="1A1A1A"/>
          <w:sz w:val="22"/>
          <w:szCs w:val="22"/>
        </w:rPr>
        <w:t xml:space="preserve">4.b4 Bxb4 5.c3 Ba5 6.d4 exd4 7.0-0 d6 8.cxd4 Bb6. White has a powerful center and attacking chances. The main theoretical battleground.</w:t>
      </w:r>
    </w:p>
    <w:p>
      <w:pPr>
        <w:pStyle w:val="ListParagraph"/>
        <w:numPr>
          <w:ilvl w:val="0"/>
          <w:numId w:val="2"/>
        </w:numPr>
        <w:spacing w:after="80" w:line="280"/>
      </w:pPr>
      <w:r>
        <w:rPr>
          <w:rFonts w:ascii="Arial" w:cs="Arial" w:eastAsia="Arial" w:hAnsi="Arial"/>
          <w:b/>
          <w:bCs/>
          <w:color w:val="1A1A1A"/>
          <w:sz w:val="22"/>
          <w:szCs w:val="22"/>
        </w:rPr>
        <w:t xml:space="preserve">Line 13 — Evans Gambit Accepted, Be7: </w:t>
      </w:r>
      <w:r>
        <w:rPr>
          <w:rFonts w:ascii="Arial" w:cs="Arial" w:eastAsia="Arial" w:hAnsi="Arial"/>
          <w:color w:val="1A1A1A"/>
          <w:sz w:val="22"/>
          <w:szCs w:val="22"/>
        </w:rPr>
        <w:t xml:space="preserve">4.b4 Bxb4 5.c3 Be7 6.d4 Na5 7.Be2 exd4 8.Qxd4 — White recovers the pawn and maintains a spatial advantage.</w:t>
      </w:r>
    </w:p>
    <w:p>
      <w:pPr>
        <w:pStyle w:val="ListParagraph"/>
        <w:numPr>
          <w:ilvl w:val="0"/>
          <w:numId w:val="2"/>
        </w:numPr>
        <w:spacing w:after="80" w:line="280"/>
      </w:pPr>
      <w:r>
        <w:rPr>
          <w:rFonts w:ascii="Arial" w:cs="Arial" w:eastAsia="Arial" w:hAnsi="Arial"/>
          <w:b/>
          <w:bCs/>
          <w:color w:val="1A1A1A"/>
          <w:sz w:val="22"/>
          <w:szCs w:val="22"/>
        </w:rPr>
        <w:t xml:space="preserve">Line 14 — Evans Gambit Accepted, Bc5 return: </w:t>
      </w:r>
      <w:r>
        <w:rPr>
          <w:rFonts w:ascii="Arial" w:cs="Arial" w:eastAsia="Arial" w:hAnsi="Arial"/>
          <w:color w:val="1A1A1A"/>
          <w:sz w:val="22"/>
          <w:szCs w:val="22"/>
        </w:rPr>
        <w:t xml:space="preserve">4.b4 Bxb4 5.c3 Bc5 — Black returns the bishop to its original square. After 6.d4 exd4 7.cxd4 Bb6 8.dxe5, White has strong central control.</w:t>
      </w:r>
    </w:p>
    <w:p>
      <w:pPr>
        <w:pStyle w:val="ListParagraph"/>
        <w:numPr>
          <w:ilvl w:val="0"/>
          <w:numId w:val="2"/>
        </w:numPr>
        <w:spacing w:after="140" w:line="280"/>
      </w:pPr>
      <w:r>
        <w:rPr>
          <w:rFonts w:ascii="Arial" w:cs="Arial" w:eastAsia="Arial" w:hAnsi="Arial"/>
          <w:b/>
          <w:bCs/>
          <w:color w:val="1A1A1A"/>
          <w:sz w:val="22"/>
          <w:szCs w:val="22"/>
        </w:rPr>
        <w:t xml:space="preserve">Line 15 — Evans Gambit Declined: </w:t>
      </w:r>
      <w:r>
        <w:rPr>
          <w:rFonts w:ascii="Arial" w:cs="Arial" w:eastAsia="Arial" w:hAnsi="Arial"/>
          <w:color w:val="1A1A1A"/>
          <w:sz w:val="22"/>
          <w:szCs w:val="22"/>
        </w:rPr>
        <w:t xml:space="preserve">4.b4 Bb6 — Black declines the gambit. Statistically the best-scoring response for Black. After 5.a4 a6 6.Nc3 Nf6 7.d3, the position resembles a Pianissimo with an extra a4 push.</w:t>
      </w:r>
    </w:p>
    <w:p>
      <w:pPr>
        <w:pStyle w:val="Heading3"/>
      </w:pPr>
      <w:r>
        <w:t xml:space="preserve">4.1.5 Giuoco Piano, Four Knights Variation (4.Nc3)</w:t>
      </w:r>
    </w:p>
    <w:p>
      <w:pPr>
        <w:pStyle w:val="ListParagraph"/>
        <w:numPr>
          <w:ilvl w:val="0"/>
          <w:numId w:val="2"/>
        </w:numPr>
        <w:spacing w:after="80" w:line="280"/>
      </w:pPr>
      <w:r>
        <w:rPr>
          <w:rFonts w:ascii="Arial" w:cs="Arial" w:eastAsia="Arial" w:hAnsi="Arial"/>
          <w:b/>
          <w:bCs/>
          <w:color w:val="1A1A1A"/>
          <w:sz w:val="22"/>
          <w:szCs w:val="22"/>
        </w:rPr>
        <w:t xml:space="preserve">Line 16 — Four Knights Italian: </w:t>
      </w:r>
      <w:r>
        <w:rPr>
          <w:rFonts w:ascii="Arial" w:cs="Arial" w:eastAsia="Arial" w:hAnsi="Arial"/>
          <w:color w:val="1A1A1A"/>
          <w:sz w:val="22"/>
          <w:szCs w:val="22"/>
        </w:rPr>
        <w:t xml:space="preserve">4.Nc3 Nf6 5.d3 d6 6.Bg5 h6 7.Bxf6 Qxf6 8.Nd5 Qd8 — White gains the two bishops and a small positional edge through the Nd5 outpost.</w:t>
      </w:r>
    </w:p>
    <w:p>
      <w:pPr>
        <w:pStyle w:val="Heading3"/>
      </w:pPr>
      <w:r>
        <w:t xml:space="preserve">4.1.6 Jerome Gambit (4.Bxf7+)</w:t>
      </w:r>
    </w:p>
    <w:p>
      <w:pPr>
        <w:pStyle w:val="ListParagraph"/>
        <w:numPr>
          <w:ilvl w:val="0"/>
          <w:numId w:val="2"/>
        </w:numPr>
        <w:spacing w:after="140" w:line="280"/>
      </w:pPr>
      <w:r>
        <w:rPr>
          <w:rFonts w:ascii="Arial" w:cs="Arial" w:eastAsia="Arial" w:hAnsi="Arial"/>
          <w:b/>
          <w:bCs/>
          <w:color w:val="1A1A1A"/>
          <w:sz w:val="22"/>
          <w:szCs w:val="22"/>
        </w:rPr>
        <w:t xml:space="preserve">Line 17 — Jerome Gambit: </w:t>
      </w:r>
      <w:r>
        <w:rPr>
          <w:rFonts w:ascii="Arial" w:cs="Arial" w:eastAsia="Arial" w:hAnsi="Arial"/>
          <w:color w:val="1A1A1A"/>
          <w:sz w:val="22"/>
          <w:szCs w:val="22"/>
        </w:rPr>
        <w:t xml:space="preserve">4.Bxf7+ Kxf7 5.Nxe5+ Nxe5 — Objectively unsound (White sacrifices two pieces for two pawns) but a popular surprise weapon at beginner/intermediate levels. Include as a trap-awareness line.</w:t>
      </w:r>
    </w:p>
    <w:p>
      <w:pPr>
        <w:pStyle w:val="Heading3"/>
      </w:pPr>
      <w:r>
        <w:t xml:space="preserve">4.1.7 Castling First (4.0-0)</w:t>
      </w:r>
    </w:p>
    <w:p>
      <w:pPr>
        <w:pStyle w:val="ListParagraph"/>
        <w:numPr>
          <w:ilvl w:val="0"/>
          <w:numId w:val="2"/>
        </w:numPr>
        <w:spacing w:after="80" w:line="280"/>
      </w:pPr>
      <w:r>
        <w:rPr>
          <w:rFonts w:ascii="Arial" w:cs="Arial" w:eastAsia="Arial" w:hAnsi="Arial"/>
          <w:b/>
          <w:bCs/>
          <w:color w:val="1A1A1A"/>
          <w:sz w:val="22"/>
          <w:szCs w:val="22"/>
        </w:rPr>
        <w:t xml:space="preserve">Line 18 — Quiet Italian with 0-0: </w:t>
      </w:r>
      <w:r>
        <w:rPr>
          <w:rFonts w:ascii="Arial" w:cs="Arial" w:eastAsia="Arial" w:hAnsi="Arial"/>
          <w:color w:val="1A1A1A"/>
          <w:sz w:val="22"/>
          <w:szCs w:val="22"/>
        </w:rPr>
        <w:t xml:space="preserve">4.0-0 Nf6 5.d3 — transposes into the Pianissimo. A flexible move order that avoids committing to c3 or d4 early.</w:t>
      </w:r>
    </w:p>
    <w:p>
      <w:pPr>
        <w:pStyle w:val="ListParagraph"/>
        <w:numPr>
          <w:ilvl w:val="0"/>
          <w:numId w:val="2"/>
        </w:numPr>
        <w:spacing w:after="140" w:line="280"/>
      </w:pPr>
      <w:r>
        <w:rPr>
          <w:rFonts w:ascii="Arial" w:cs="Arial" w:eastAsia="Arial" w:hAnsi="Arial"/>
          <w:b/>
          <w:bCs/>
          <w:color w:val="1A1A1A"/>
          <w:sz w:val="22"/>
          <w:szCs w:val="22"/>
        </w:rPr>
        <w:t xml:space="preserve">Line 19 — Max Lange Attack setup: </w:t>
      </w:r>
      <w:r>
        <w:rPr>
          <w:rFonts w:ascii="Arial" w:cs="Arial" w:eastAsia="Arial" w:hAnsi="Arial"/>
          <w:color w:val="1A1A1A"/>
          <w:sz w:val="22"/>
          <w:szCs w:val="22"/>
        </w:rPr>
        <w:t xml:space="preserve">4.0-0 Nf6 5.d4 exd4 6.e5 d5 7.exf6 dxc4 8.fxg7 Rg8 — the Max Lange Attack. One of the sharpest lines in all of chess. Requires precise knowledge from both sides.</w:t>
      </w:r>
    </w:p>
    <w:p>
      <w:pPr>
        <w:spacing w:after="60"/>
      </w:pPr>
    </w:p>
    <w:p>
      <w:pPr>
        <w:pStyle w:val="Heading2"/>
      </w:pPr>
      <w:r>
        <w:t xml:space="preserve">4.2 Branch B: 3...Nf6 — The Two Knights Defense Complex</w:t>
      </w:r>
    </w:p>
    <w:p>
      <w:pPr>
        <w:spacing w:after="140" w:line="300"/>
        <w:jc w:val="left"/>
      </w:pPr>
      <w:r>
        <w:rPr>
          <w:rFonts w:ascii="Arial" w:cs="Arial" w:eastAsia="Arial" w:hAnsi="Arial"/>
          <w:color w:val="1A1A1A"/>
          <w:sz w:val="22"/>
          <w:szCs w:val="22"/>
        </w:rPr>
        <w:t xml:space="preserve">Instead of developing the bishop, Black plays 3...Nf6, counter-attacking the e4 pawn immediately. This is more aggressive than 3...Bc5 and leads to the most tactical positions in the Italian. White’s critical response is 4.Ng5, doubling the attack on f7.</w:t>
      </w:r>
    </w:p>
    <w:p>
      <w:pPr>
        <w:pStyle w:val="Heading3"/>
      </w:pPr>
      <w:r>
        <w:t xml:space="preserve">4.2.1 The Knight Attack: 4.Ng5 d5 5.exd5</w:t>
      </w:r>
    </w:p>
    <w:p>
      <w:pPr>
        <w:spacing w:after="140" w:line="300"/>
        <w:jc w:val="left"/>
      </w:pPr>
      <w:r>
        <w:rPr>
          <w:rFonts w:ascii="Arial" w:cs="Arial" w:eastAsia="Arial" w:hAnsi="Arial"/>
          <w:color w:val="1A1A1A"/>
          <w:sz w:val="22"/>
          <w:szCs w:val="22"/>
        </w:rPr>
        <w:t xml:space="preserve">After 4.Ng5 d5 5.exd5, Black faces the most critical decision in the Italian Game: recapture with the knight (5...Nxd5, allowing the Fried Liver/Lolli) or play 5...Na5 (the main line, attacking the bishop). Additionally, 5...Nd4 and 5...b5 are playable alternatives.</w:t>
      </w:r>
    </w:p>
    <w:p>
      <w:pPr>
        <w:pStyle w:val="ListParagraph"/>
        <w:numPr>
          <w:ilvl w:val="0"/>
          <w:numId w:val="2"/>
        </w:numPr>
        <w:spacing w:after="80" w:line="280"/>
      </w:pPr>
      <w:r>
        <w:rPr>
          <w:rFonts w:ascii="Arial" w:cs="Arial" w:eastAsia="Arial" w:hAnsi="Arial"/>
          <w:b/>
          <w:bCs/>
          <w:color w:val="1A1A1A"/>
          <w:sz w:val="22"/>
          <w:szCs w:val="22"/>
        </w:rPr>
        <w:t xml:space="preserve">Line 20 — Fried Liver Attack: </w:t>
      </w:r>
      <w:r>
        <w:rPr>
          <w:rFonts w:ascii="Arial" w:cs="Arial" w:eastAsia="Arial" w:hAnsi="Arial"/>
          <w:color w:val="1A1A1A"/>
          <w:sz w:val="22"/>
          <w:szCs w:val="22"/>
        </w:rPr>
        <w:t xml:space="preserve">5...Nxd5 6.Nxf7 Kxf7 7.Qf3+ Ke6 8.Nc3 — White sacrifices the knight on f7 to drag the Black king into the open. The most feared attack at club level. White has overwhelming practical chances despite the piece deficit.</w:t>
      </w:r>
    </w:p>
    <w:p>
      <w:pPr>
        <w:pStyle w:val="ListParagraph"/>
        <w:numPr>
          <w:ilvl w:val="0"/>
          <w:numId w:val="2"/>
        </w:numPr>
        <w:spacing w:after="80" w:line="280"/>
      </w:pPr>
      <w:r>
        <w:rPr>
          <w:rFonts w:ascii="Arial" w:cs="Arial" w:eastAsia="Arial" w:hAnsi="Arial"/>
          <w:b/>
          <w:bCs/>
          <w:color w:val="1A1A1A"/>
          <w:sz w:val="22"/>
          <w:szCs w:val="22"/>
        </w:rPr>
        <w:t xml:space="preserve">Line 21 — Fried Liver, Ke8 variation: </w:t>
      </w:r>
      <w:r>
        <w:rPr>
          <w:rFonts w:ascii="Arial" w:cs="Arial" w:eastAsia="Arial" w:hAnsi="Arial"/>
          <w:color w:val="1A1A1A"/>
          <w:sz w:val="22"/>
          <w:szCs w:val="22"/>
        </w:rPr>
        <w:t xml:space="preserve">5...Nxd5 6.Nxf7 Kxf7 7.Qf3+ Ke8 — an alternative for Black, retreating the king. After 8.Bxd5 the position is highly unclear but White retains strong pressure.</w:t>
      </w:r>
    </w:p>
    <w:p>
      <w:pPr>
        <w:pStyle w:val="ListParagraph"/>
        <w:numPr>
          <w:ilvl w:val="0"/>
          <w:numId w:val="2"/>
        </w:numPr>
        <w:spacing w:after="80" w:line="280"/>
      </w:pPr>
      <w:r>
        <w:rPr>
          <w:rFonts w:ascii="Arial" w:cs="Arial" w:eastAsia="Arial" w:hAnsi="Arial"/>
          <w:b/>
          <w:bCs/>
          <w:color w:val="1A1A1A"/>
          <w:sz w:val="22"/>
          <w:szCs w:val="22"/>
        </w:rPr>
        <w:t xml:space="preserve">Line 22 — Lolli Attack: </w:t>
      </w:r>
      <w:r>
        <w:rPr>
          <w:rFonts w:ascii="Arial" w:cs="Arial" w:eastAsia="Arial" w:hAnsi="Arial"/>
          <w:color w:val="1A1A1A"/>
          <w:sz w:val="22"/>
          <w:szCs w:val="22"/>
        </w:rPr>
        <w:t xml:space="preserve">5...Nxd5 6.d4 (instead of 6.Nxf7) — White opens the center first before sacrificing. After 6...exd4 7.0-0 Be7 8.Nxf7 Kxf7 9.Qf3+, this is even more aggressive than the Fried Liver, with the e-file already open for White’s rook.</w:t>
      </w:r>
    </w:p>
    <w:p>
      <w:pPr>
        <w:pStyle w:val="ListParagraph"/>
        <w:numPr>
          <w:ilvl w:val="0"/>
          <w:numId w:val="2"/>
        </w:numPr>
        <w:spacing w:after="80" w:line="280"/>
      </w:pPr>
      <w:r>
        <w:rPr>
          <w:rFonts w:ascii="Arial" w:cs="Arial" w:eastAsia="Arial" w:hAnsi="Arial"/>
          <w:b/>
          <w:bCs/>
          <w:color w:val="1A1A1A"/>
          <w:sz w:val="22"/>
          <w:szCs w:val="22"/>
        </w:rPr>
        <w:t xml:space="preserve">Line 23 — Lolli, Be7 defense: </w:t>
      </w:r>
      <w:r>
        <w:rPr>
          <w:rFonts w:ascii="Arial" w:cs="Arial" w:eastAsia="Arial" w:hAnsi="Arial"/>
          <w:color w:val="1A1A1A"/>
          <w:sz w:val="22"/>
          <w:szCs w:val="22"/>
        </w:rPr>
        <w:t xml:space="preserve">5...Nxd5 6.d4 Be7 7.Nxf7 Kxf7 8.Qf3+ Ke6 9.Nc3 — Black tries to develop with tempo against the knight, but the king on e6 remains horribly exposed.</w:t>
      </w:r>
    </w:p>
    <w:p>
      <w:pPr>
        <w:pStyle w:val="ListParagraph"/>
        <w:numPr>
          <w:ilvl w:val="0"/>
          <w:numId w:val="2"/>
        </w:numPr>
        <w:spacing w:after="80" w:line="280"/>
      </w:pPr>
      <w:r>
        <w:rPr>
          <w:rFonts w:ascii="Arial" w:cs="Arial" w:eastAsia="Arial" w:hAnsi="Arial"/>
          <w:b/>
          <w:bCs/>
          <w:color w:val="1A1A1A"/>
          <w:sz w:val="22"/>
          <w:szCs w:val="22"/>
        </w:rPr>
        <w:t xml:space="preserve">Line 24 — Lolli, Bb4+ defense: </w:t>
      </w:r>
      <w:r>
        <w:rPr>
          <w:rFonts w:ascii="Arial" w:cs="Arial" w:eastAsia="Arial" w:hAnsi="Arial"/>
          <w:color w:val="1A1A1A"/>
          <w:sz w:val="22"/>
          <w:szCs w:val="22"/>
        </w:rPr>
        <w:t xml:space="preserve">5...Nxd5 6.d4 Bb4+ 7.c3 Be7 — Black provokes a concession before retreating. May be Black’s best practical try in the Lolli, but White’s attack still rages.</w:t>
      </w:r>
    </w:p>
    <w:p>
      <w:pPr>
        <w:pStyle w:val="ListParagraph"/>
        <w:numPr>
          <w:ilvl w:val="0"/>
          <w:numId w:val="2"/>
        </w:numPr>
        <w:spacing w:after="80" w:line="280"/>
      </w:pPr>
      <w:r>
        <w:rPr>
          <w:rFonts w:ascii="Arial" w:cs="Arial" w:eastAsia="Arial" w:hAnsi="Arial"/>
          <w:b/>
          <w:bCs/>
          <w:color w:val="1A1A1A"/>
          <w:sz w:val="22"/>
          <w:szCs w:val="22"/>
        </w:rPr>
        <w:t xml:space="preserve">Line 25 — Na5 Main Line: </w:t>
      </w:r>
      <w:r>
        <w:rPr>
          <w:rFonts w:ascii="Arial" w:cs="Arial" w:eastAsia="Arial" w:hAnsi="Arial"/>
          <w:color w:val="1A1A1A"/>
          <w:sz w:val="22"/>
          <w:szCs w:val="22"/>
        </w:rPr>
        <w:t xml:space="preserve">5...Na5 6.Bb5+ c6 7.dxc6 bxc6 8.Be2 h6 9.Nf3 e4 — The theoretically correct response. Black gives up a pawn but gets rapid development, the bishop pair, and open lines. This is the main line at master level.</w:t>
      </w:r>
    </w:p>
    <w:p>
      <w:pPr>
        <w:pStyle w:val="ListParagraph"/>
        <w:numPr>
          <w:ilvl w:val="0"/>
          <w:numId w:val="2"/>
        </w:numPr>
        <w:spacing w:after="80" w:line="280"/>
      </w:pPr>
      <w:r>
        <w:rPr>
          <w:rFonts w:ascii="Arial" w:cs="Arial" w:eastAsia="Arial" w:hAnsi="Arial"/>
          <w:b/>
          <w:bCs/>
          <w:color w:val="1A1A1A"/>
          <w:sz w:val="22"/>
          <w:szCs w:val="22"/>
        </w:rPr>
        <w:t xml:space="preserve">Line 26 — Na5, Bd3 variation: </w:t>
      </w:r>
      <w:r>
        <w:rPr>
          <w:rFonts w:ascii="Arial" w:cs="Arial" w:eastAsia="Arial" w:hAnsi="Arial"/>
          <w:color w:val="1A1A1A"/>
          <w:sz w:val="22"/>
          <w:szCs w:val="22"/>
        </w:rPr>
        <w:t xml:space="preserve">5...Na5 6.Bd3 — an alternative to Bb5+. White keeps the bishop but Black plays 6...h6 7.Nf3 e4 with active compensation.</w:t>
      </w:r>
    </w:p>
    <w:p>
      <w:pPr>
        <w:pStyle w:val="ListParagraph"/>
        <w:numPr>
          <w:ilvl w:val="0"/>
          <w:numId w:val="2"/>
        </w:numPr>
        <w:spacing w:after="80" w:line="280"/>
      </w:pPr>
      <w:r>
        <w:rPr>
          <w:rFonts w:ascii="Arial" w:cs="Arial" w:eastAsia="Arial" w:hAnsi="Arial"/>
          <w:b/>
          <w:bCs/>
          <w:color w:val="1A1A1A"/>
          <w:sz w:val="22"/>
          <w:szCs w:val="22"/>
        </w:rPr>
        <w:t xml:space="preserve">Line 27 — Nd4 (Fritz Variation): </w:t>
      </w:r>
      <w:r>
        <w:rPr>
          <w:rFonts w:ascii="Arial" w:cs="Arial" w:eastAsia="Arial" w:hAnsi="Arial"/>
          <w:color w:val="1A1A1A"/>
          <w:sz w:val="22"/>
          <w:szCs w:val="22"/>
        </w:rPr>
        <w:t xml:space="preserve">5...Nd4 — the Fritz Variation. Black counterattacks with the knight rather than recapturing the pawn. After 6.c3 b5 7.Bf1 Nxd5, play becomes very complex.</w:t>
      </w:r>
    </w:p>
    <w:p>
      <w:pPr>
        <w:pStyle w:val="ListParagraph"/>
        <w:numPr>
          <w:ilvl w:val="0"/>
          <w:numId w:val="2"/>
        </w:numPr>
        <w:spacing w:after="140" w:line="280"/>
      </w:pPr>
      <w:r>
        <w:rPr>
          <w:rFonts w:ascii="Arial" w:cs="Arial" w:eastAsia="Arial" w:hAnsi="Arial"/>
          <w:b/>
          <w:bCs/>
          <w:color w:val="1A1A1A"/>
          <w:sz w:val="22"/>
          <w:szCs w:val="22"/>
        </w:rPr>
        <w:t xml:space="preserve">Line 28 — Ulvestad Variation (5...b5): </w:t>
      </w:r>
      <w:r>
        <w:rPr>
          <w:rFonts w:ascii="Arial" w:cs="Arial" w:eastAsia="Arial" w:hAnsi="Arial"/>
          <w:color w:val="1A1A1A"/>
          <w:sz w:val="22"/>
          <w:szCs w:val="22"/>
        </w:rPr>
        <w:t xml:space="preserve">5...b5 6.Bf1 Nd4 — a rare but sharp gambit. Black gives up a pawn to get rapid piece activity and attack f2.</w:t>
      </w:r>
    </w:p>
    <w:p>
      <w:pPr>
        <w:pStyle w:val="Heading3"/>
      </w:pPr>
      <w:r>
        <w:t xml:space="preserve">4.2.2 Traxler Counterattack: 4.Ng5 Bc5!?</w:t>
      </w:r>
    </w:p>
    <w:p>
      <w:pPr>
        <w:spacing w:after="140" w:line="300"/>
        <w:jc w:val="left"/>
      </w:pPr>
      <w:r>
        <w:rPr>
          <w:rFonts w:ascii="Arial" w:cs="Arial" w:eastAsia="Arial" w:hAnsi="Arial"/>
          <w:color w:val="1A1A1A"/>
          <w:sz w:val="22"/>
          <w:szCs w:val="22"/>
        </w:rPr>
        <w:t xml:space="preserve">Instead of the standard 4...d5, Black plays the audacious 4...Bc5, ignoring the threat to f7 and counter-threatening f2. This leads to some of the wildest positions in chess.</w:t>
      </w:r>
    </w:p>
    <w:p>
      <w:pPr>
        <w:pStyle w:val="ListParagraph"/>
        <w:numPr>
          <w:ilvl w:val="0"/>
          <w:numId w:val="2"/>
        </w:numPr>
        <w:spacing w:after="80" w:line="280"/>
      </w:pPr>
      <w:r>
        <w:rPr>
          <w:rFonts w:ascii="Arial" w:cs="Arial" w:eastAsia="Arial" w:hAnsi="Arial"/>
          <w:b/>
          <w:bCs/>
          <w:color w:val="1A1A1A"/>
          <w:sz w:val="22"/>
          <w:szCs w:val="22"/>
        </w:rPr>
        <w:t xml:space="preserve">Line 29 — Traxler, Nxf7 Accepted: </w:t>
      </w:r>
      <w:r>
        <w:rPr>
          <w:rFonts w:ascii="Arial" w:cs="Arial" w:eastAsia="Arial" w:hAnsi="Arial"/>
          <w:color w:val="1A1A1A"/>
          <w:sz w:val="22"/>
          <w:szCs w:val="22"/>
        </w:rPr>
        <w:t xml:space="preserve">4...Bc5 5.Nxf7 Bxf2+ 6.Kf1 (6.Kxf2 Nxe4+ is also critical) Qe7 7.Nxh8 d5 — Black has given up the exchange but has a ferocious attack against the exposed White king. Extremely double-edged.</w:t>
      </w:r>
    </w:p>
    <w:p>
      <w:pPr>
        <w:pStyle w:val="ListParagraph"/>
        <w:numPr>
          <w:ilvl w:val="0"/>
          <w:numId w:val="2"/>
        </w:numPr>
        <w:spacing w:after="80" w:line="280"/>
      </w:pPr>
      <w:r>
        <w:rPr>
          <w:rFonts w:ascii="Arial" w:cs="Arial" w:eastAsia="Arial" w:hAnsi="Arial"/>
          <w:b/>
          <w:bCs/>
          <w:color w:val="1A1A1A"/>
          <w:sz w:val="22"/>
          <w:szCs w:val="22"/>
        </w:rPr>
        <w:t xml:space="preserve">Line 30 — Traxler, Kxf2 variation: </w:t>
      </w:r>
      <w:r>
        <w:rPr>
          <w:rFonts w:ascii="Arial" w:cs="Arial" w:eastAsia="Arial" w:hAnsi="Arial"/>
          <w:color w:val="1A1A1A"/>
          <w:sz w:val="22"/>
          <w:szCs w:val="22"/>
        </w:rPr>
        <w:t xml:space="preserve">4...Bc5 5.Nxf7 Bxf2+ 6.Kxf2 Nxe4+ 7.Ke3 (7.Kg1 and 7.Kf3 also possible) Qh4 — the king is dragged into the middle. Black has massive practical chances.</w:t>
      </w:r>
    </w:p>
    <w:p>
      <w:pPr>
        <w:pStyle w:val="ListParagraph"/>
        <w:numPr>
          <w:ilvl w:val="0"/>
          <w:numId w:val="2"/>
        </w:numPr>
        <w:spacing w:after="140" w:line="280"/>
      </w:pPr>
      <w:r>
        <w:rPr>
          <w:rFonts w:ascii="Arial" w:cs="Arial" w:eastAsia="Arial" w:hAnsi="Arial"/>
          <w:b/>
          <w:bCs/>
          <w:color w:val="1A1A1A"/>
          <w:sz w:val="22"/>
          <w:szCs w:val="22"/>
        </w:rPr>
        <w:t xml:space="preserve">Line 31 — Traxler, Bxf7+ instead of Nxf7: </w:t>
      </w:r>
      <w:r>
        <w:rPr>
          <w:rFonts w:ascii="Arial" w:cs="Arial" w:eastAsia="Arial" w:hAnsi="Arial"/>
          <w:color w:val="1A1A1A"/>
          <w:sz w:val="22"/>
          <w:szCs w:val="22"/>
        </w:rPr>
        <w:t xml:space="preserve">4...Bc5 5.Bxf7+ Ke7 6.Bd5 — White avoids the chaos of Nxf7 by taking with the bishop instead. Objectively better for White but less well-known. Black must play accurately.</w:t>
      </w:r>
    </w:p>
    <w:p>
      <w:pPr>
        <w:pStyle w:val="Heading3"/>
      </w:pPr>
      <w:r>
        <w:t xml:space="preserve">4.2.3 Quiet Lines after 3...Nf6</w:t>
      </w:r>
    </w:p>
    <w:p>
      <w:pPr>
        <w:pStyle w:val="ListParagraph"/>
        <w:numPr>
          <w:ilvl w:val="0"/>
          <w:numId w:val="2"/>
        </w:numPr>
        <w:spacing w:after="80" w:line="280"/>
      </w:pPr>
      <w:r>
        <w:rPr>
          <w:rFonts w:ascii="Arial" w:cs="Arial" w:eastAsia="Arial" w:hAnsi="Arial"/>
          <w:b/>
          <w:bCs/>
          <w:color w:val="1A1A1A"/>
          <w:sz w:val="22"/>
          <w:szCs w:val="22"/>
        </w:rPr>
        <w:t xml:space="preserve">Line 32 — Modern with d3 against Nf6: </w:t>
      </w:r>
      <w:r>
        <w:rPr>
          <w:rFonts w:ascii="Arial" w:cs="Arial" w:eastAsia="Arial" w:hAnsi="Arial"/>
          <w:color w:val="1A1A1A"/>
          <w:sz w:val="22"/>
          <w:szCs w:val="22"/>
        </w:rPr>
        <w:t xml:space="preserve">4.d3 Bc5 — transposes to the Pianissimo. White avoids the sharp Ng5 lines entirely. The most popular alternative to 4.Ng5 at all levels.</w:t>
      </w:r>
    </w:p>
    <w:p>
      <w:pPr>
        <w:pStyle w:val="ListParagraph"/>
        <w:numPr>
          <w:ilvl w:val="0"/>
          <w:numId w:val="2"/>
        </w:numPr>
        <w:spacing w:after="140" w:line="280"/>
      </w:pPr>
      <w:r>
        <w:rPr>
          <w:rFonts w:ascii="Arial" w:cs="Arial" w:eastAsia="Arial" w:hAnsi="Arial"/>
          <w:b/>
          <w:bCs/>
          <w:color w:val="1A1A1A"/>
          <w:sz w:val="22"/>
          <w:szCs w:val="22"/>
        </w:rPr>
        <w:t xml:space="preserve">Line 33 — 0-0 against Nf6: </w:t>
      </w:r>
      <w:r>
        <w:rPr>
          <w:rFonts w:ascii="Arial" w:cs="Arial" w:eastAsia="Arial" w:hAnsi="Arial"/>
          <w:color w:val="1A1A1A"/>
          <w:sz w:val="22"/>
          <w:szCs w:val="22"/>
        </w:rPr>
        <w:t xml:space="preserve">4.0-0 Bc5 5.d3 — another transposition route into the Pianissimo, sidestepping all Ng5 complications.</w:t>
      </w:r>
    </w:p>
    <w:p>
      <w:pPr>
        <w:spacing w:after="60"/>
      </w:pPr>
    </w:p>
    <w:p>
      <w:pPr>
        <w:pStyle w:val="Heading2"/>
      </w:pPr>
      <w:r>
        <w:t xml:space="preserve">4.3 Branch C: Sidelines after 3.Bc4</w:t>
      </w:r>
    </w:p>
    <w:p>
      <w:pPr>
        <w:spacing w:after="140" w:line="300"/>
        <w:jc w:val="left"/>
      </w:pPr>
      <w:r>
        <w:rPr>
          <w:rFonts w:ascii="Arial" w:cs="Arial" w:eastAsia="Arial" w:hAnsi="Arial"/>
          <w:color w:val="1A1A1A"/>
          <w:sz w:val="22"/>
          <w:szCs w:val="22"/>
        </w:rPr>
        <w:t xml:space="preserve">These are uncommon but important to know. Users will face them in real games and should not be surprised.</w:t>
      </w:r>
    </w:p>
    <w:p>
      <w:pPr>
        <w:pStyle w:val="ListParagraph"/>
        <w:numPr>
          <w:ilvl w:val="0"/>
          <w:numId w:val="2"/>
        </w:numPr>
        <w:spacing w:after="80" w:line="280"/>
      </w:pPr>
      <w:r>
        <w:rPr>
          <w:rFonts w:ascii="Arial" w:cs="Arial" w:eastAsia="Arial" w:hAnsi="Arial"/>
          <w:b/>
          <w:bCs/>
          <w:color w:val="1A1A1A"/>
          <w:sz w:val="22"/>
          <w:szCs w:val="22"/>
        </w:rPr>
        <w:t xml:space="preserve">Line 34 — Hungarian Defense (3...Be7): </w:t>
      </w:r>
      <w:r>
        <w:rPr>
          <w:rFonts w:ascii="Arial" w:cs="Arial" w:eastAsia="Arial" w:hAnsi="Arial"/>
          <w:color w:val="1A1A1A"/>
          <w:sz w:val="22"/>
          <w:szCs w:val="22"/>
        </w:rPr>
        <w:t xml:space="preserve">Passive but solid. Black avoids all sharp Italian lines. White responds with 4.d4 d6 5.dxe5 dxe5 6.Qxd8+ Bxd8, winning the right to castle. Comfortable edge.</w:t>
      </w:r>
    </w:p>
    <w:p>
      <w:pPr>
        <w:pStyle w:val="ListParagraph"/>
        <w:numPr>
          <w:ilvl w:val="0"/>
          <w:numId w:val="2"/>
        </w:numPr>
        <w:spacing w:after="80" w:line="280"/>
      </w:pPr>
      <w:r>
        <w:rPr>
          <w:rFonts w:ascii="Arial" w:cs="Arial" w:eastAsia="Arial" w:hAnsi="Arial"/>
          <w:b/>
          <w:bCs/>
          <w:color w:val="1A1A1A"/>
          <w:sz w:val="22"/>
          <w:szCs w:val="22"/>
        </w:rPr>
        <w:t xml:space="preserve">Line 35 — Hungarian, Tartakower Variation: </w:t>
      </w:r>
      <w:r>
        <w:rPr>
          <w:rFonts w:ascii="Arial" w:cs="Arial" w:eastAsia="Arial" w:hAnsi="Arial"/>
          <w:color w:val="1A1A1A"/>
          <w:sz w:val="22"/>
          <w:szCs w:val="22"/>
        </w:rPr>
        <w:t xml:space="preserve">3...Be7 4.d4 exd4 5.c3 Nf6 6.e5 Ne4 — Black tries to create complications. White should play 7.Bd5 Nc5 8.Nxd4 with an advantage.</w:t>
      </w:r>
    </w:p>
    <w:p>
      <w:pPr>
        <w:pStyle w:val="ListParagraph"/>
        <w:numPr>
          <w:ilvl w:val="0"/>
          <w:numId w:val="2"/>
        </w:numPr>
        <w:spacing w:after="80" w:line="280"/>
      </w:pPr>
      <w:r>
        <w:rPr>
          <w:rFonts w:ascii="Arial" w:cs="Arial" w:eastAsia="Arial" w:hAnsi="Arial"/>
          <w:b/>
          <w:bCs/>
          <w:color w:val="1A1A1A"/>
          <w:sz w:val="22"/>
          <w:szCs w:val="22"/>
        </w:rPr>
        <w:t xml:space="preserve">Line 36 — Blackburne Shilling Gambit (3...Nd4): </w:t>
      </w:r>
      <w:r>
        <w:rPr>
          <w:rFonts w:ascii="Arial" w:cs="Arial" w:eastAsia="Arial" w:hAnsi="Arial"/>
          <w:color w:val="1A1A1A"/>
          <w:sz w:val="22"/>
          <w:szCs w:val="22"/>
        </w:rPr>
        <w:t xml:space="preserve">A trick opening. If White falls for 4.Nxe5? Qg5 5.Nxf7 Qxg2, it’s a disaster. The correct response is 4.Nxd4 exd4 5.c3 with a clear advantage for White.</w:t>
      </w:r>
    </w:p>
    <w:p>
      <w:pPr>
        <w:pStyle w:val="ListParagraph"/>
        <w:numPr>
          <w:ilvl w:val="0"/>
          <w:numId w:val="2"/>
        </w:numPr>
        <w:spacing w:after="80" w:line="280"/>
      </w:pPr>
      <w:r>
        <w:rPr>
          <w:rFonts w:ascii="Arial" w:cs="Arial" w:eastAsia="Arial" w:hAnsi="Arial"/>
          <w:b/>
          <w:bCs/>
          <w:color w:val="1A1A1A"/>
          <w:sz w:val="22"/>
          <w:szCs w:val="22"/>
        </w:rPr>
        <w:t xml:space="preserve">Line 37 — Rousseau Gambit (3...f5): </w:t>
      </w:r>
      <w:r>
        <w:rPr>
          <w:rFonts w:ascii="Arial" w:cs="Arial" w:eastAsia="Arial" w:hAnsi="Arial"/>
          <w:color w:val="1A1A1A"/>
          <w:sz w:val="22"/>
          <w:szCs w:val="22"/>
        </w:rPr>
        <w:t xml:space="preserve">Rare and objectively dubious, but a surprise weapon. After 4.d3 Nf6 5.0-0 fxe4 6.dxe4 Bc5, Black has an active position but structural weaknesses.</w:t>
      </w:r>
    </w:p>
    <w:p>
      <w:pPr>
        <w:pStyle w:val="ListParagraph"/>
        <w:numPr>
          <w:ilvl w:val="0"/>
          <w:numId w:val="2"/>
        </w:numPr>
        <w:spacing w:after="80" w:line="280"/>
      </w:pPr>
      <w:r>
        <w:rPr>
          <w:rFonts w:ascii="Arial" w:cs="Arial" w:eastAsia="Arial" w:hAnsi="Arial"/>
          <w:b/>
          <w:bCs/>
          <w:color w:val="1A1A1A"/>
          <w:sz w:val="22"/>
          <w:szCs w:val="22"/>
        </w:rPr>
        <w:t xml:space="preserve">Line 38 — Semi-Italian (3...d6): </w:t>
      </w:r>
      <w:r>
        <w:rPr>
          <w:rFonts w:ascii="Arial" w:cs="Arial" w:eastAsia="Arial" w:hAnsi="Arial"/>
          <w:color w:val="1A1A1A"/>
          <w:sz w:val="22"/>
          <w:szCs w:val="22"/>
        </w:rPr>
        <w:t xml:space="preserve">A solid, old-fashioned response. Often transposes to the Hungarian after 4.0-0 Be7 or to the Scotch after 4.d4 exd4. Independent lines arise from 4.d4 Bg4 and 4.c3.</w:t>
      </w:r>
    </w:p>
    <w:p>
      <w:pPr>
        <w:pStyle w:val="ListParagraph"/>
        <w:numPr>
          <w:ilvl w:val="0"/>
          <w:numId w:val="2"/>
        </w:numPr>
        <w:spacing w:after="140" w:line="280"/>
      </w:pPr>
      <w:r>
        <w:rPr>
          <w:rFonts w:ascii="Arial" w:cs="Arial" w:eastAsia="Arial" w:hAnsi="Arial"/>
          <w:b/>
          <w:bCs/>
          <w:color w:val="1A1A1A"/>
          <w:sz w:val="22"/>
          <w:szCs w:val="22"/>
        </w:rPr>
        <w:t xml:space="preserve">Line 39 — Fianchetto Defense (3...g6): </w:t>
      </w:r>
      <w:r>
        <w:rPr>
          <w:rFonts w:ascii="Arial" w:cs="Arial" w:eastAsia="Arial" w:hAnsi="Arial"/>
          <w:color w:val="1A1A1A"/>
          <w:sz w:val="22"/>
          <w:szCs w:val="22"/>
        </w:rPr>
        <w:t xml:space="preserve">Extremely rare. After 4.d4 exd4 5.c3 dxc3 6.Nxc3 Bg7, White has rapid development and open lines for the gambit pawn. Practically very dangerous for Black.</w:t>
      </w:r>
    </w:p>
    <w:p>
      <w:pPr>
        <w:spacing w:after="60"/>
      </w:pPr>
    </w:p>
    <w:p>
      <w:pPr>
        <w:pStyle w:val="Heading2"/>
      </w:pPr>
      <w:r>
        <w:t xml:space="preserve">4.4 Variation Summary Table</w:t>
      </w:r>
    </w:p>
    <w:p>
      <w:pPr>
        <w:spacing w:after="140" w:line="300"/>
        <w:jc w:val="left"/>
      </w:pPr>
      <w:r>
        <w:rPr>
          <w:rFonts w:ascii="Arial" w:cs="Arial" w:eastAsia="Arial" w:hAnsi="Arial"/>
          <w:color w:val="1A1A1A"/>
          <w:sz w:val="22"/>
          <w:szCs w:val="22"/>
        </w:rPr>
        <w:t xml:space="preserve">The table below provides a reference of all 39 lines grouped by category, with ECO codes where applicable.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700"/>
        <w:gridCol w:w="1280"/>
        <w:gridCol w:w="1280"/>
      </w:tblGrid>
      <w:tr>
        <w:tc>
          <w:tcPr>
            <w:tcW w:type="dxa" w:w="900"/>
            <w:tcBorders>
              <w:top w:val="single" w:color="D0C8B8" w:sz="1"/>
              <w:left w:val="single" w:color="D0C8B8" w:sz="1"/>
              <w:bottom w:val="single" w:color="D0C8B8" w:sz="1"/>
              <w:right w:val="single" w:color="D0C8B8" w:sz="1"/>
            </w:tcBorders>
            <w:shd w:fill="2B4C3F"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3200"/>
            <w:tcBorders>
              <w:top w:val="single" w:color="D0C8B8" w:sz="1"/>
              <w:left w:val="single" w:color="D0C8B8" w:sz="1"/>
              <w:bottom w:val="single" w:color="D0C8B8" w:sz="1"/>
              <w:right w:val="single" w:color="D0C8B8" w:sz="1"/>
            </w:tcBorders>
            <w:shd w:fill="2B4C3F" w:val="clear"/>
            <w:tcMar>
              <w:top w:type="dxa" w:w="60"/>
              <w:left w:type="dxa" w:w="100"/>
              <w:bottom w:type="dxa" w:w="60"/>
              <w:right w:type="dxa" w:w="100"/>
            </w:tcMar>
            <w:vAlign w:val="center"/>
          </w:tcPr>
          <w:p>
            <w:r>
              <w:rPr>
                <w:rFonts w:ascii="Arial" w:cs="Arial" w:eastAsia="Arial" w:hAnsi="Arial"/>
                <w:b/>
                <w:bCs/>
                <w:color w:val="FFFFFF"/>
                <w:sz w:val="20"/>
                <w:szCs w:val="20"/>
              </w:rPr>
              <w:t xml:space="preserve">Line Name</w:t>
            </w:r>
          </w:p>
        </w:tc>
        <w:tc>
          <w:tcPr>
            <w:tcW w:type="dxa" w:w="2700"/>
            <w:tcBorders>
              <w:top w:val="single" w:color="D0C8B8" w:sz="1"/>
              <w:left w:val="single" w:color="D0C8B8" w:sz="1"/>
              <w:bottom w:val="single" w:color="D0C8B8" w:sz="1"/>
              <w:right w:val="single" w:color="D0C8B8" w:sz="1"/>
            </w:tcBorders>
            <w:shd w:fill="2B4C3F"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1280"/>
            <w:tcBorders>
              <w:top w:val="single" w:color="D0C8B8" w:sz="1"/>
              <w:left w:val="single" w:color="D0C8B8" w:sz="1"/>
              <w:bottom w:val="single" w:color="D0C8B8" w:sz="1"/>
              <w:right w:val="single" w:color="D0C8B8" w:sz="1"/>
            </w:tcBorders>
            <w:shd w:fill="2B4C3F" w:val="clear"/>
            <w:tcMar>
              <w:top w:type="dxa" w:w="60"/>
              <w:left w:type="dxa" w:w="100"/>
              <w:bottom w:type="dxa" w:w="60"/>
              <w:right w:type="dxa" w:w="100"/>
            </w:tcMar>
            <w:vAlign w:val="center"/>
          </w:tcPr>
          <w:p>
            <w:r>
              <w:rPr>
                <w:rFonts w:ascii="Arial" w:cs="Arial" w:eastAsia="Arial" w:hAnsi="Arial"/>
                <w:b/>
                <w:bCs/>
                <w:color w:val="FFFFFF"/>
                <w:sz w:val="20"/>
                <w:szCs w:val="20"/>
              </w:rPr>
              <w:t xml:space="preserve">Depth</w:t>
            </w:r>
          </w:p>
        </w:tc>
        <w:tc>
          <w:tcPr>
            <w:tcW w:type="dxa" w:w="1280"/>
            <w:tcBorders>
              <w:top w:val="single" w:color="D0C8B8" w:sz="1"/>
              <w:left w:val="single" w:color="D0C8B8" w:sz="1"/>
              <w:bottom w:val="single" w:color="D0C8B8" w:sz="1"/>
              <w:right w:val="single" w:color="D0C8B8" w:sz="1"/>
            </w:tcBorders>
            <w:shd w:fill="2B4C3F" w:val="clear"/>
            <w:tcMar>
              <w:top w:type="dxa" w:w="60"/>
              <w:left w:type="dxa" w:w="100"/>
              <w:bottom w:type="dxa" w:w="60"/>
              <w:right w:type="dxa" w:w="100"/>
            </w:tcMar>
            <w:vAlign w:val="center"/>
          </w:tcPr>
          <w:p>
            <w:r>
              <w:rPr>
                <w:rFonts w:ascii="Arial" w:cs="Arial" w:eastAsia="Arial" w:hAnsi="Arial"/>
                <w:b/>
                <w:bCs/>
                <w:color w:val="FFFFFF"/>
                <w:sz w:val="20"/>
                <w:szCs w:val="20"/>
              </w:rPr>
              <w:t xml:space="preserve">Side</w:t>
            </w:r>
          </w:p>
        </w:tc>
      </w:tr>
      <w:tr>
        <w:tc>
          <w:tcPr>
            <w:tcW w:type="dxa" w:w="900"/>
            <w:tcBorders>
              <w:top w:val="single" w:color="D0C8B8" w:sz="1"/>
              <w:left w:val="single" w:color="D0C8B8" w:sz="1"/>
              <w:bottom w:val="single" w:color="D0C8B8" w:sz="1"/>
              <w:right w:val="single" w:color="D0C8B8" w:sz="1"/>
            </w:tcBorders>
            <w:tcMar>
              <w:top w:type="dxa" w:w="60"/>
              <w:left w:type="dxa" w:w="100"/>
              <w:bottom w:type="dxa" w:w="60"/>
              <w:right w:type="dxa" w:w="100"/>
            </w:tcMar>
          </w:tcPr>
          <w:p>
            <w:r>
              <w:rPr>
                <w:rFonts w:ascii="Arial" w:cs="Arial" w:eastAsia="Arial" w:hAnsi="Arial"/>
                <w:color w:val="1A1A1A"/>
                <w:sz w:val="20"/>
                <w:szCs w:val="20"/>
              </w:rPr>
              <w:t xml:space="preserve">1–19</w:t>
            </w:r>
          </w:p>
        </w:tc>
        <w:tc>
          <w:tcPr>
            <w:tcW w:type="dxa" w:w="3200"/>
            <w:tcBorders>
              <w:top w:val="single" w:color="D0C8B8" w:sz="1"/>
              <w:left w:val="single" w:color="D0C8B8" w:sz="1"/>
              <w:bottom w:val="single" w:color="D0C8B8" w:sz="1"/>
              <w:right w:val="single" w:color="D0C8B8" w:sz="1"/>
            </w:tcBorders>
            <w:tcMar>
              <w:top w:type="dxa" w:w="60"/>
              <w:left w:type="dxa" w:w="100"/>
              <w:bottom w:type="dxa" w:w="60"/>
              <w:right w:type="dxa" w:w="100"/>
            </w:tcMar>
          </w:tcPr>
          <w:p>
            <w:r>
              <w:rPr>
                <w:rFonts w:ascii="Arial" w:cs="Arial" w:eastAsia="Arial" w:hAnsi="Arial"/>
                <w:color w:val="1A1A1A"/>
                <w:sz w:val="20"/>
                <w:szCs w:val="20"/>
              </w:rPr>
              <w:t xml:space="preserve">Giuoco Piano Complex</w:t>
            </w:r>
          </w:p>
        </w:tc>
        <w:tc>
          <w:tcPr>
            <w:tcW w:type="dxa" w:w="2700"/>
            <w:tcBorders>
              <w:top w:val="single" w:color="D0C8B8" w:sz="1"/>
              <w:left w:val="single" w:color="D0C8B8" w:sz="1"/>
              <w:bottom w:val="single" w:color="D0C8B8" w:sz="1"/>
              <w:right w:val="single" w:color="D0C8B8" w:sz="1"/>
            </w:tcBorders>
            <w:tcMar>
              <w:top w:type="dxa" w:w="60"/>
              <w:left w:type="dxa" w:w="100"/>
              <w:bottom w:type="dxa" w:w="60"/>
              <w:right w:type="dxa" w:w="100"/>
            </w:tcMar>
          </w:tcPr>
          <w:p>
            <w:r>
              <w:rPr>
                <w:rFonts w:ascii="Arial" w:cs="Arial" w:eastAsia="Arial" w:hAnsi="Arial"/>
                <w:color w:val="1A1A1A"/>
                <w:sz w:val="20"/>
                <w:szCs w:val="20"/>
              </w:rPr>
              <w:t xml:space="preserve">3...Bc5 branch</w:t>
            </w:r>
          </w:p>
        </w:tc>
        <w:tc>
          <w:tcPr>
            <w:tcW w:type="dxa" w:w="1280"/>
            <w:tcBorders>
              <w:top w:val="single" w:color="D0C8B8" w:sz="1"/>
              <w:left w:val="single" w:color="D0C8B8" w:sz="1"/>
              <w:bottom w:val="single" w:color="D0C8B8" w:sz="1"/>
              <w:right w:val="single" w:color="D0C8B8" w:sz="1"/>
            </w:tcBorders>
            <w:tcMar>
              <w:top w:type="dxa" w:w="60"/>
              <w:left w:type="dxa" w:w="100"/>
              <w:bottom w:type="dxa" w:w="60"/>
              <w:right w:type="dxa" w:w="100"/>
            </w:tcMar>
          </w:tcPr>
          <w:p>
            <w:r>
              <w:rPr>
                <w:rFonts w:ascii="Arial" w:cs="Arial" w:eastAsia="Arial" w:hAnsi="Arial"/>
                <w:color w:val="1A1A1A"/>
                <w:sz w:val="20"/>
                <w:szCs w:val="20"/>
              </w:rPr>
              <w:t xml:space="preserve">10–18</w:t>
            </w:r>
          </w:p>
        </w:tc>
        <w:tc>
          <w:tcPr>
            <w:tcW w:type="dxa" w:w="1280"/>
            <w:tcBorders>
              <w:top w:val="single" w:color="D0C8B8" w:sz="1"/>
              <w:left w:val="single" w:color="D0C8B8" w:sz="1"/>
              <w:bottom w:val="single" w:color="D0C8B8" w:sz="1"/>
              <w:right w:val="single" w:color="D0C8B8" w:sz="1"/>
            </w:tcBorders>
            <w:tcMar>
              <w:top w:type="dxa" w:w="60"/>
              <w:left w:type="dxa" w:w="100"/>
              <w:bottom w:type="dxa" w:w="60"/>
              <w:right w:type="dxa" w:w="100"/>
            </w:tcMar>
          </w:tcPr>
          <w:p>
            <w:r>
              <w:rPr>
                <w:rFonts w:ascii="Arial" w:cs="Arial" w:eastAsia="Arial" w:hAnsi="Arial"/>
                <w:color w:val="1A1A1A"/>
                <w:sz w:val="20"/>
                <w:szCs w:val="20"/>
              </w:rPr>
              <w:t xml:space="preserve">Both</w:t>
            </w:r>
          </w:p>
        </w:tc>
      </w:tr>
      <w:tr>
        <w:tc>
          <w:tcPr>
            <w:tcW w:type="dxa" w:w="900"/>
            <w:tcBorders>
              <w:top w:val="single" w:color="D0C8B8" w:sz="1"/>
              <w:left w:val="single" w:color="D0C8B8" w:sz="1"/>
              <w:bottom w:val="single" w:color="D0C8B8" w:sz="1"/>
              <w:right w:val="single" w:color="D0C8B8" w:sz="1"/>
            </w:tcBorders>
            <w:shd w:fill="F9F6F0" w:val="clear"/>
            <w:tcMar>
              <w:top w:type="dxa" w:w="60"/>
              <w:left w:type="dxa" w:w="100"/>
              <w:bottom w:type="dxa" w:w="60"/>
              <w:right w:type="dxa" w:w="100"/>
            </w:tcMar>
          </w:tcPr>
          <w:p>
            <w:r>
              <w:rPr>
                <w:rFonts w:ascii="Arial" w:cs="Arial" w:eastAsia="Arial" w:hAnsi="Arial"/>
                <w:color w:val="1A1A1A"/>
                <w:sz w:val="20"/>
                <w:szCs w:val="20"/>
              </w:rPr>
              <w:t xml:space="preserve">20–28</w:t>
            </w:r>
          </w:p>
        </w:tc>
        <w:tc>
          <w:tcPr>
            <w:tcW w:type="dxa" w:w="3200"/>
            <w:tcBorders>
              <w:top w:val="single" w:color="D0C8B8" w:sz="1"/>
              <w:left w:val="single" w:color="D0C8B8" w:sz="1"/>
              <w:bottom w:val="single" w:color="D0C8B8" w:sz="1"/>
              <w:right w:val="single" w:color="D0C8B8" w:sz="1"/>
            </w:tcBorders>
            <w:shd w:fill="F9F6F0" w:val="clear"/>
            <w:tcMar>
              <w:top w:type="dxa" w:w="60"/>
              <w:left w:type="dxa" w:w="100"/>
              <w:bottom w:type="dxa" w:w="60"/>
              <w:right w:type="dxa" w:w="100"/>
            </w:tcMar>
          </w:tcPr>
          <w:p>
            <w:r>
              <w:rPr>
                <w:rFonts w:ascii="Arial" w:cs="Arial" w:eastAsia="Arial" w:hAnsi="Arial"/>
                <w:color w:val="1A1A1A"/>
                <w:sz w:val="20"/>
                <w:szCs w:val="20"/>
              </w:rPr>
              <w:t xml:space="preserve">Two Knights / Fried Liver / Lolli</w:t>
            </w:r>
          </w:p>
        </w:tc>
        <w:tc>
          <w:tcPr>
            <w:tcW w:type="dxa" w:w="2700"/>
            <w:tcBorders>
              <w:top w:val="single" w:color="D0C8B8" w:sz="1"/>
              <w:left w:val="single" w:color="D0C8B8" w:sz="1"/>
              <w:bottom w:val="single" w:color="D0C8B8" w:sz="1"/>
              <w:right w:val="single" w:color="D0C8B8" w:sz="1"/>
            </w:tcBorders>
            <w:shd w:fill="F9F6F0" w:val="clear"/>
            <w:tcMar>
              <w:top w:type="dxa" w:w="60"/>
              <w:left w:type="dxa" w:w="100"/>
              <w:bottom w:type="dxa" w:w="60"/>
              <w:right w:type="dxa" w:w="100"/>
            </w:tcMar>
          </w:tcPr>
          <w:p>
            <w:r>
              <w:rPr>
                <w:rFonts w:ascii="Arial" w:cs="Arial" w:eastAsia="Arial" w:hAnsi="Arial"/>
                <w:color w:val="1A1A1A"/>
                <w:sz w:val="20"/>
                <w:szCs w:val="20"/>
              </w:rPr>
              <w:t xml:space="preserve">3...Nf6 4.Ng5</w:t>
            </w:r>
          </w:p>
        </w:tc>
        <w:tc>
          <w:tcPr>
            <w:tcW w:type="dxa" w:w="1280"/>
            <w:tcBorders>
              <w:top w:val="single" w:color="D0C8B8" w:sz="1"/>
              <w:left w:val="single" w:color="D0C8B8" w:sz="1"/>
              <w:bottom w:val="single" w:color="D0C8B8" w:sz="1"/>
              <w:right w:val="single" w:color="D0C8B8" w:sz="1"/>
            </w:tcBorders>
            <w:shd w:fill="F9F6F0" w:val="clear"/>
            <w:tcMar>
              <w:top w:type="dxa" w:w="60"/>
              <w:left w:type="dxa" w:w="100"/>
              <w:bottom w:type="dxa" w:w="60"/>
              <w:right w:type="dxa" w:w="100"/>
            </w:tcMar>
          </w:tcPr>
          <w:p>
            <w:r>
              <w:rPr>
                <w:rFonts w:ascii="Arial" w:cs="Arial" w:eastAsia="Arial" w:hAnsi="Arial"/>
                <w:color w:val="1A1A1A"/>
                <w:sz w:val="20"/>
                <w:szCs w:val="20"/>
              </w:rPr>
              <w:t xml:space="preserve">12–20</w:t>
            </w:r>
          </w:p>
        </w:tc>
        <w:tc>
          <w:tcPr>
            <w:tcW w:type="dxa" w:w="1280"/>
            <w:tcBorders>
              <w:top w:val="single" w:color="D0C8B8" w:sz="1"/>
              <w:left w:val="single" w:color="D0C8B8" w:sz="1"/>
              <w:bottom w:val="single" w:color="D0C8B8" w:sz="1"/>
              <w:right w:val="single" w:color="D0C8B8" w:sz="1"/>
            </w:tcBorders>
            <w:shd w:fill="F9F6F0" w:val="clear"/>
            <w:tcMar>
              <w:top w:type="dxa" w:w="60"/>
              <w:left w:type="dxa" w:w="100"/>
              <w:bottom w:type="dxa" w:w="60"/>
              <w:right w:type="dxa" w:w="100"/>
            </w:tcMar>
          </w:tcPr>
          <w:p>
            <w:r>
              <w:rPr>
                <w:rFonts w:ascii="Arial" w:cs="Arial" w:eastAsia="Arial" w:hAnsi="Arial"/>
                <w:color w:val="1A1A1A"/>
                <w:sz w:val="20"/>
                <w:szCs w:val="20"/>
              </w:rPr>
              <w:t xml:space="preserve">Both</w:t>
            </w:r>
          </w:p>
        </w:tc>
      </w:tr>
      <w:tr>
        <w:tc>
          <w:tcPr>
            <w:tcW w:type="dxa" w:w="900"/>
            <w:tcBorders>
              <w:top w:val="single" w:color="D0C8B8" w:sz="1"/>
              <w:left w:val="single" w:color="D0C8B8" w:sz="1"/>
              <w:bottom w:val="single" w:color="D0C8B8" w:sz="1"/>
              <w:right w:val="single" w:color="D0C8B8" w:sz="1"/>
            </w:tcBorders>
            <w:tcMar>
              <w:top w:type="dxa" w:w="60"/>
              <w:left w:type="dxa" w:w="100"/>
              <w:bottom w:type="dxa" w:w="60"/>
              <w:right w:type="dxa" w:w="100"/>
            </w:tcMar>
          </w:tcPr>
          <w:p>
            <w:r>
              <w:rPr>
                <w:rFonts w:ascii="Arial" w:cs="Arial" w:eastAsia="Arial" w:hAnsi="Arial"/>
                <w:color w:val="1A1A1A"/>
                <w:sz w:val="20"/>
                <w:szCs w:val="20"/>
              </w:rPr>
              <w:t xml:space="preserve">29–31</w:t>
            </w:r>
          </w:p>
        </w:tc>
        <w:tc>
          <w:tcPr>
            <w:tcW w:type="dxa" w:w="3200"/>
            <w:tcBorders>
              <w:top w:val="single" w:color="D0C8B8" w:sz="1"/>
              <w:left w:val="single" w:color="D0C8B8" w:sz="1"/>
              <w:bottom w:val="single" w:color="D0C8B8" w:sz="1"/>
              <w:right w:val="single" w:color="D0C8B8" w:sz="1"/>
            </w:tcBorders>
            <w:tcMar>
              <w:top w:type="dxa" w:w="60"/>
              <w:left w:type="dxa" w:w="100"/>
              <w:bottom w:type="dxa" w:w="60"/>
              <w:right w:type="dxa" w:w="100"/>
            </w:tcMar>
          </w:tcPr>
          <w:p>
            <w:r>
              <w:rPr>
                <w:rFonts w:ascii="Arial" w:cs="Arial" w:eastAsia="Arial" w:hAnsi="Arial"/>
                <w:color w:val="1A1A1A"/>
                <w:sz w:val="20"/>
                <w:szCs w:val="20"/>
              </w:rPr>
              <w:t xml:space="preserve">Traxler Counterattack</w:t>
            </w:r>
          </w:p>
        </w:tc>
        <w:tc>
          <w:tcPr>
            <w:tcW w:type="dxa" w:w="2700"/>
            <w:tcBorders>
              <w:top w:val="single" w:color="D0C8B8" w:sz="1"/>
              <w:left w:val="single" w:color="D0C8B8" w:sz="1"/>
              <w:bottom w:val="single" w:color="D0C8B8" w:sz="1"/>
              <w:right w:val="single" w:color="D0C8B8" w:sz="1"/>
            </w:tcBorders>
            <w:tcMar>
              <w:top w:type="dxa" w:w="60"/>
              <w:left w:type="dxa" w:w="100"/>
              <w:bottom w:type="dxa" w:w="60"/>
              <w:right w:type="dxa" w:w="100"/>
            </w:tcMar>
          </w:tcPr>
          <w:p>
            <w:r>
              <w:rPr>
                <w:rFonts w:ascii="Arial" w:cs="Arial" w:eastAsia="Arial" w:hAnsi="Arial"/>
                <w:color w:val="1A1A1A"/>
                <w:sz w:val="20"/>
                <w:szCs w:val="20"/>
              </w:rPr>
              <w:t xml:space="preserve">3...Nf6 4.Ng5 Bc5</w:t>
            </w:r>
          </w:p>
        </w:tc>
        <w:tc>
          <w:tcPr>
            <w:tcW w:type="dxa" w:w="1280"/>
            <w:tcBorders>
              <w:top w:val="single" w:color="D0C8B8" w:sz="1"/>
              <w:left w:val="single" w:color="D0C8B8" w:sz="1"/>
              <w:bottom w:val="single" w:color="D0C8B8" w:sz="1"/>
              <w:right w:val="single" w:color="D0C8B8" w:sz="1"/>
            </w:tcBorders>
            <w:tcMar>
              <w:top w:type="dxa" w:w="60"/>
              <w:left w:type="dxa" w:w="100"/>
              <w:bottom w:type="dxa" w:w="60"/>
              <w:right w:type="dxa" w:w="100"/>
            </w:tcMar>
          </w:tcPr>
          <w:p>
            <w:r>
              <w:rPr>
                <w:rFonts w:ascii="Arial" w:cs="Arial" w:eastAsia="Arial" w:hAnsi="Arial"/>
                <w:color w:val="1A1A1A"/>
                <w:sz w:val="20"/>
                <w:szCs w:val="20"/>
              </w:rPr>
              <w:t xml:space="preserve">10–16</w:t>
            </w:r>
          </w:p>
        </w:tc>
        <w:tc>
          <w:tcPr>
            <w:tcW w:type="dxa" w:w="1280"/>
            <w:tcBorders>
              <w:top w:val="single" w:color="D0C8B8" w:sz="1"/>
              <w:left w:val="single" w:color="D0C8B8" w:sz="1"/>
              <w:bottom w:val="single" w:color="D0C8B8" w:sz="1"/>
              <w:right w:val="single" w:color="D0C8B8" w:sz="1"/>
            </w:tcBorders>
            <w:tcMar>
              <w:top w:type="dxa" w:w="60"/>
              <w:left w:type="dxa" w:w="100"/>
              <w:bottom w:type="dxa" w:w="60"/>
              <w:right w:type="dxa" w:w="100"/>
            </w:tcMar>
          </w:tcPr>
          <w:p>
            <w:r>
              <w:rPr>
                <w:rFonts w:ascii="Arial" w:cs="Arial" w:eastAsia="Arial" w:hAnsi="Arial"/>
                <w:color w:val="1A1A1A"/>
                <w:sz w:val="20"/>
                <w:szCs w:val="20"/>
              </w:rPr>
              <w:t xml:space="preserve">Both</w:t>
            </w:r>
          </w:p>
        </w:tc>
      </w:tr>
      <w:tr>
        <w:tc>
          <w:tcPr>
            <w:tcW w:type="dxa" w:w="900"/>
            <w:tcBorders>
              <w:top w:val="single" w:color="D0C8B8" w:sz="1"/>
              <w:left w:val="single" w:color="D0C8B8" w:sz="1"/>
              <w:bottom w:val="single" w:color="D0C8B8" w:sz="1"/>
              <w:right w:val="single" w:color="D0C8B8" w:sz="1"/>
            </w:tcBorders>
            <w:shd w:fill="F9F6F0" w:val="clear"/>
            <w:tcMar>
              <w:top w:type="dxa" w:w="60"/>
              <w:left w:type="dxa" w:w="100"/>
              <w:bottom w:type="dxa" w:w="60"/>
              <w:right w:type="dxa" w:w="100"/>
            </w:tcMar>
          </w:tcPr>
          <w:p>
            <w:r>
              <w:rPr>
                <w:rFonts w:ascii="Arial" w:cs="Arial" w:eastAsia="Arial" w:hAnsi="Arial"/>
                <w:color w:val="1A1A1A"/>
                <w:sz w:val="20"/>
                <w:szCs w:val="20"/>
              </w:rPr>
              <w:t xml:space="preserve">32–33</w:t>
            </w:r>
          </w:p>
        </w:tc>
        <w:tc>
          <w:tcPr>
            <w:tcW w:type="dxa" w:w="3200"/>
            <w:tcBorders>
              <w:top w:val="single" w:color="D0C8B8" w:sz="1"/>
              <w:left w:val="single" w:color="D0C8B8" w:sz="1"/>
              <w:bottom w:val="single" w:color="D0C8B8" w:sz="1"/>
              <w:right w:val="single" w:color="D0C8B8" w:sz="1"/>
            </w:tcBorders>
            <w:shd w:fill="F9F6F0" w:val="clear"/>
            <w:tcMar>
              <w:top w:type="dxa" w:w="60"/>
              <w:left w:type="dxa" w:w="100"/>
              <w:bottom w:type="dxa" w:w="60"/>
              <w:right w:type="dxa" w:w="100"/>
            </w:tcMar>
          </w:tcPr>
          <w:p>
            <w:r>
              <w:rPr>
                <w:rFonts w:ascii="Arial" w:cs="Arial" w:eastAsia="Arial" w:hAnsi="Arial"/>
                <w:color w:val="1A1A1A"/>
                <w:sz w:val="20"/>
                <w:szCs w:val="20"/>
              </w:rPr>
              <w:t xml:space="preserve">Quiet Two Knights</w:t>
            </w:r>
          </w:p>
        </w:tc>
        <w:tc>
          <w:tcPr>
            <w:tcW w:type="dxa" w:w="2700"/>
            <w:tcBorders>
              <w:top w:val="single" w:color="D0C8B8" w:sz="1"/>
              <w:left w:val="single" w:color="D0C8B8" w:sz="1"/>
              <w:bottom w:val="single" w:color="D0C8B8" w:sz="1"/>
              <w:right w:val="single" w:color="D0C8B8" w:sz="1"/>
            </w:tcBorders>
            <w:shd w:fill="F9F6F0" w:val="clear"/>
            <w:tcMar>
              <w:top w:type="dxa" w:w="60"/>
              <w:left w:type="dxa" w:w="100"/>
              <w:bottom w:type="dxa" w:w="60"/>
              <w:right w:type="dxa" w:w="100"/>
            </w:tcMar>
          </w:tcPr>
          <w:p>
            <w:r>
              <w:rPr>
                <w:rFonts w:ascii="Arial" w:cs="Arial" w:eastAsia="Arial" w:hAnsi="Arial"/>
                <w:color w:val="1A1A1A"/>
                <w:sz w:val="20"/>
                <w:szCs w:val="20"/>
              </w:rPr>
              <w:t xml:space="preserve">3...Nf6 4.d3/0-0</w:t>
            </w:r>
          </w:p>
        </w:tc>
        <w:tc>
          <w:tcPr>
            <w:tcW w:type="dxa" w:w="1280"/>
            <w:tcBorders>
              <w:top w:val="single" w:color="D0C8B8" w:sz="1"/>
              <w:left w:val="single" w:color="D0C8B8" w:sz="1"/>
              <w:bottom w:val="single" w:color="D0C8B8" w:sz="1"/>
              <w:right w:val="single" w:color="D0C8B8" w:sz="1"/>
            </w:tcBorders>
            <w:shd w:fill="F9F6F0" w:val="clear"/>
            <w:tcMar>
              <w:top w:type="dxa" w:w="60"/>
              <w:left w:type="dxa" w:w="100"/>
              <w:bottom w:type="dxa" w:w="60"/>
              <w:right w:type="dxa" w:w="100"/>
            </w:tcMar>
          </w:tcPr>
          <w:p>
            <w:r>
              <w:rPr>
                <w:rFonts w:ascii="Arial" w:cs="Arial" w:eastAsia="Arial" w:hAnsi="Arial"/>
                <w:color w:val="1A1A1A"/>
                <w:sz w:val="20"/>
                <w:szCs w:val="20"/>
              </w:rPr>
              <w:t xml:space="preserve">10–14</w:t>
            </w:r>
          </w:p>
        </w:tc>
        <w:tc>
          <w:tcPr>
            <w:tcW w:type="dxa" w:w="1280"/>
            <w:tcBorders>
              <w:top w:val="single" w:color="D0C8B8" w:sz="1"/>
              <w:left w:val="single" w:color="D0C8B8" w:sz="1"/>
              <w:bottom w:val="single" w:color="D0C8B8" w:sz="1"/>
              <w:right w:val="single" w:color="D0C8B8" w:sz="1"/>
            </w:tcBorders>
            <w:shd w:fill="F9F6F0" w:val="clear"/>
            <w:tcMar>
              <w:top w:type="dxa" w:w="60"/>
              <w:left w:type="dxa" w:w="100"/>
              <w:bottom w:type="dxa" w:w="60"/>
              <w:right w:type="dxa" w:w="100"/>
            </w:tcMar>
          </w:tcPr>
          <w:p>
            <w:r>
              <w:rPr>
                <w:rFonts w:ascii="Arial" w:cs="Arial" w:eastAsia="Arial" w:hAnsi="Arial"/>
                <w:color w:val="1A1A1A"/>
                <w:sz w:val="20"/>
                <w:szCs w:val="20"/>
              </w:rPr>
              <w:t xml:space="preserve">Both</w:t>
            </w:r>
          </w:p>
        </w:tc>
      </w:tr>
      <w:tr>
        <w:tc>
          <w:tcPr>
            <w:tcW w:type="dxa" w:w="900"/>
            <w:tcBorders>
              <w:top w:val="single" w:color="D0C8B8" w:sz="1"/>
              <w:left w:val="single" w:color="D0C8B8" w:sz="1"/>
              <w:bottom w:val="single" w:color="D0C8B8" w:sz="1"/>
              <w:right w:val="single" w:color="D0C8B8" w:sz="1"/>
            </w:tcBorders>
            <w:tcMar>
              <w:top w:type="dxa" w:w="60"/>
              <w:left w:type="dxa" w:w="100"/>
              <w:bottom w:type="dxa" w:w="60"/>
              <w:right w:type="dxa" w:w="100"/>
            </w:tcMar>
          </w:tcPr>
          <w:p>
            <w:r>
              <w:rPr>
                <w:rFonts w:ascii="Arial" w:cs="Arial" w:eastAsia="Arial" w:hAnsi="Arial"/>
                <w:color w:val="1A1A1A"/>
                <w:sz w:val="20"/>
                <w:szCs w:val="20"/>
              </w:rPr>
              <w:t xml:space="preserve">34–39</w:t>
            </w:r>
          </w:p>
        </w:tc>
        <w:tc>
          <w:tcPr>
            <w:tcW w:type="dxa" w:w="3200"/>
            <w:tcBorders>
              <w:top w:val="single" w:color="D0C8B8" w:sz="1"/>
              <w:left w:val="single" w:color="D0C8B8" w:sz="1"/>
              <w:bottom w:val="single" w:color="D0C8B8" w:sz="1"/>
              <w:right w:val="single" w:color="D0C8B8" w:sz="1"/>
            </w:tcBorders>
            <w:tcMar>
              <w:top w:type="dxa" w:w="60"/>
              <w:left w:type="dxa" w:w="100"/>
              <w:bottom w:type="dxa" w:w="60"/>
              <w:right w:type="dxa" w:w="100"/>
            </w:tcMar>
          </w:tcPr>
          <w:p>
            <w:r>
              <w:rPr>
                <w:rFonts w:ascii="Arial" w:cs="Arial" w:eastAsia="Arial" w:hAnsi="Arial"/>
                <w:color w:val="1A1A1A"/>
                <w:sz w:val="20"/>
                <w:szCs w:val="20"/>
              </w:rPr>
              <w:t xml:space="preserve">Sidelines</w:t>
            </w:r>
          </w:p>
        </w:tc>
        <w:tc>
          <w:tcPr>
            <w:tcW w:type="dxa" w:w="2700"/>
            <w:tcBorders>
              <w:top w:val="single" w:color="D0C8B8" w:sz="1"/>
              <w:left w:val="single" w:color="D0C8B8" w:sz="1"/>
              <w:bottom w:val="single" w:color="D0C8B8" w:sz="1"/>
              <w:right w:val="single" w:color="D0C8B8" w:sz="1"/>
            </w:tcBorders>
            <w:tcMar>
              <w:top w:type="dxa" w:w="60"/>
              <w:left w:type="dxa" w:w="100"/>
              <w:bottom w:type="dxa" w:w="60"/>
              <w:right w:type="dxa" w:w="100"/>
            </w:tcMar>
          </w:tcPr>
          <w:p>
            <w:r>
              <w:rPr>
                <w:rFonts w:ascii="Arial" w:cs="Arial" w:eastAsia="Arial" w:hAnsi="Arial"/>
                <w:color w:val="1A1A1A"/>
                <w:sz w:val="20"/>
                <w:szCs w:val="20"/>
              </w:rPr>
              <w:t xml:space="preserve">3...Be7/Nd4/f5/d6/g6</w:t>
            </w:r>
          </w:p>
        </w:tc>
        <w:tc>
          <w:tcPr>
            <w:tcW w:type="dxa" w:w="1280"/>
            <w:tcBorders>
              <w:top w:val="single" w:color="D0C8B8" w:sz="1"/>
              <w:left w:val="single" w:color="D0C8B8" w:sz="1"/>
              <w:bottom w:val="single" w:color="D0C8B8" w:sz="1"/>
              <w:right w:val="single" w:color="D0C8B8" w:sz="1"/>
            </w:tcBorders>
            <w:tcMar>
              <w:top w:type="dxa" w:w="60"/>
              <w:left w:type="dxa" w:w="100"/>
              <w:bottom w:type="dxa" w:w="60"/>
              <w:right w:type="dxa" w:w="100"/>
            </w:tcMar>
          </w:tcPr>
          <w:p>
            <w:r>
              <w:rPr>
                <w:rFonts w:ascii="Arial" w:cs="Arial" w:eastAsia="Arial" w:hAnsi="Arial"/>
                <w:color w:val="1A1A1A"/>
                <w:sz w:val="20"/>
                <w:szCs w:val="20"/>
              </w:rPr>
              <w:t xml:space="preserve">8–12</w:t>
            </w:r>
          </w:p>
        </w:tc>
        <w:tc>
          <w:tcPr>
            <w:tcW w:type="dxa" w:w="1280"/>
            <w:tcBorders>
              <w:top w:val="single" w:color="D0C8B8" w:sz="1"/>
              <w:left w:val="single" w:color="D0C8B8" w:sz="1"/>
              <w:bottom w:val="single" w:color="D0C8B8" w:sz="1"/>
              <w:right w:val="single" w:color="D0C8B8" w:sz="1"/>
            </w:tcBorders>
            <w:tcMar>
              <w:top w:type="dxa" w:w="60"/>
              <w:left w:type="dxa" w:w="100"/>
              <w:bottom w:type="dxa" w:w="60"/>
              <w:right w:type="dxa" w:w="100"/>
            </w:tcMar>
          </w:tcPr>
          <w:p>
            <w:r>
              <w:rPr>
                <w:rFonts w:ascii="Arial" w:cs="Arial" w:eastAsia="Arial" w:hAnsi="Arial"/>
                <w:color w:val="1A1A1A"/>
                <w:sz w:val="20"/>
                <w:szCs w:val="20"/>
              </w:rPr>
              <w:t xml:space="preserve">Both</w:t>
            </w:r>
          </w:p>
        </w:tc>
      </w:tr>
    </w:tbl>
    <w:p>
      <w:r>
        <w:br w:type="page"/>
      </w:r>
    </w:p>
    <w:p>
      <w:pPr>
        <w:pStyle w:val="Heading1"/>
      </w:pPr>
      <w:r>
        <w:t xml:space="preserve">5. Feature: Interactive Variation Tree</w:t>
      </w:r>
    </w:p>
    <w:p>
      <w:pPr>
        <w:spacing w:after="140" w:line="300"/>
        <w:jc w:val="left"/>
      </w:pPr>
      <w:r>
        <w:rPr>
          <w:rFonts w:ascii="Arial" w:cs="Arial" w:eastAsia="Arial" w:hAnsi="Arial"/>
          <w:color w:val="1A1A1A"/>
          <w:sz w:val="22"/>
          <w:szCs w:val="22"/>
        </w:rPr>
        <w:t xml:space="preserve">The Interactive Variation Tree is the signature feature that differentiates this product from all competitors. It is a visual, interactive representation of the opening’s branching structure — a navigable map of every path the opening can take.</w:t>
      </w:r>
    </w:p>
    <w:p>
      <w:pPr>
        <w:pStyle w:val="Heading2"/>
      </w:pPr>
      <w:r>
        <w:t xml:space="preserve">5.1 Concept</w:t>
      </w:r>
    </w:p>
    <w:p>
      <w:pPr>
        <w:spacing w:after="140" w:line="300"/>
        <w:jc w:val="left"/>
      </w:pPr>
      <w:r>
        <w:rPr>
          <w:rFonts w:ascii="Arial" w:cs="Arial" w:eastAsia="Arial" w:hAnsi="Arial"/>
          <w:color w:val="1A1A1A"/>
          <w:sz w:val="22"/>
          <w:szCs w:val="22"/>
        </w:rPr>
        <w:t xml:space="preserve">The tree is rendered as a top-down or left-to-right graph. The root node is the starting position (1.e4). Each node represents a board position after a move. Edges represent moves. Branch points (where multiple responses exist) expand into multiple child nodes. Each leaf node represents the end of a trainable line.</w:t>
      </w:r>
    </w:p>
    <w:p>
      <w:pPr>
        <w:spacing w:after="140" w:line="300"/>
        <w:jc w:val="left"/>
      </w:pPr>
      <w:r>
        <w:rPr>
          <w:rFonts w:ascii="Arial" w:cs="Arial" w:eastAsia="Arial" w:hAnsi="Arial"/>
          <w:color w:val="1A1A1A"/>
          <w:sz w:val="22"/>
          <w:szCs w:val="22"/>
        </w:rPr>
        <w:t xml:space="preserve">The tree is interactive: users can pan, zoom, and tap on any node. Tapping a node shows the board position at that point and offers the option to begin drilling the line that passes through it. The tree also displays progress data — nodes in mastered lines glow green; nodes in untrained lines appear dimmed.</w:t>
      </w:r>
    </w:p>
    <w:p>
      <w:pPr>
        <w:pStyle w:val="Heading2"/>
      </w:pPr>
      <w:r>
        <w:t xml:space="preserve">5.2 Visual Design</w:t>
      </w:r>
    </w:p>
    <w:p>
      <w:pPr>
        <w:pStyle w:val="ListParagraph"/>
        <w:numPr>
          <w:ilvl w:val="0"/>
          <w:numId w:val="4"/>
        </w:numPr>
        <w:spacing w:after="80" w:line="280"/>
      </w:pPr>
      <w:r>
        <w:rPr>
          <w:rFonts w:ascii="Arial" w:cs="Arial" w:eastAsia="Arial" w:hAnsi="Arial"/>
          <w:b/>
          <w:bCs/>
          <w:color w:val="1A1A1A"/>
          <w:sz w:val="22"/>
          <w:szCs w:val="22"/>
        </w:rPr>
        <w:t xml:space="preserve">Trunk: </w:t>
      </w:r>
      <w:r>
        <w:rPr>
          <w:rFonts w:ascii="Arial" w:cs="Arial" w:eastAsia="Arial" w:hAnsi="Arial"/>
          <w:color w:val="1A1A1A"/>
          <w:sz w:val="22"/>
          <w:szCs w:val="22"/>
        </w:rPr>
        <w:t xml:space="preserve">The common opening moves (1.e4 e5 2.Nf3 Nc6 3.Bc4) appear as a thick, prominent vertical or horizontal spine. This is shared by all lines.</w:t>
      </w:r>
    </w:p>
    <w:p>
      <w:pPr>
        <w:pStyle w:val="ListParagraph"/>
        <w:numPr>
          <w:ilvl w:val="0"/>
          <w:numId w:val="4"/>
        </w:numPr>
        <w:spacing w:after="80" w:line="280"/>
      </w:pPr>
      <w:r>
        <w:rPr>
          <w:rFonts w:ascii="Arial" w:cs="Arial" w:eastAsia="Arial" w:hAnsi="Arial"/>
          <w:b/>
          <w:bCs/>
          <w:color w:val="1A1A1A"/>
          <w:sz w:val="22"/>
          <w:szCs w:val="22"/>
        </w:rPr>
        <w:t xml:space="preserve">First Branch (Move 3, Black’s response): </w:t>
      </w:r>
      <w:r>
        <w:rPr>
          <w:rFonts w:ascii="Arial" w:cs="Arial" w:eastAsia="Arial" w:hAnsi="Arial"/>
          <w:color w:val="1A1A1A"/>
          <w:sz w:val="22"/>
          <w:szCs w:val="22"/>
        </w:rPr>
        <w:t xml:space="preserve">The tree splits into 3...Bc5 (Giuoco Piano complex), 3...Nf6 (Two Knights complex), and a cluster of sidelines (Be7, Nd4, f5, d6, g6). These are the primary branches.</w:t>
      </w:r>
    </w:p>
    <w:p>
      <w:pPr>
        <w:pStyle w:val="ListParagraph"/>
        <w:numPr>
          <w:ilvl w:val="0"/>
          <w:numId w:val="4"/>
        </w:numPr>
        <w:spacing w:after="80" w:line="280"/>
      </w:pPr>
      <w:r>
        <w:rPr>
          <w:rFonts w:ascii="Arial" w:cs="Arial" w:eastAsia="Arial" w:hAnsi="Arial"/>
          <w:b/>
          <w:bCs/>
          <w:color w:val="1A1A1A"/>
          <w:sz w:val="22"/>
          <w:szCs w:val="22"/>
        </w:rPr>
        <w:t xml:space="preserve">Sub-branches: </w:t>
      </w:r>
      <w:r>
        <w:rPr>
          <w:rFonts w:ascii="Arial" w:cs="Arial" w:eastAsia="Arial" w:hAnsi="Arial"/>
          <w:color w:val="1A1A1A"/>
          <w:sz w:val="22"/>
          <w:szCs w:val="22"/>
        </w:rPr>
        <w:t xml:space="preserve">Within the 3...Bc5 branch, the tree further splits at White’s 4th move (d3, c3, d4, b4, Nc3, Bxf7+, 0-0). Within 3...Nf6, it splits at White’s 4th (Ng5, d3, 0-0) and then again after 4.Ng5 d5 5.exd5 at Black’s recapture (Nxd5, Na5, Nd4, b5).</w:t>
      </w:r>
    </w:p>
    <w:p>
      <w:pPr>
        <w:pStyle w:val="ListParagraph"/>
        <w:numPr>
          <w:ilvl w:val="0"/>
          <w:numId w:val="4"/>
        </w:numPr>
        <w:spacing w:after="80" w:line="280"/>
      </w:pPr>
      <w:r>
        <w:rPr>
          <w:rFonts w:ascii="Arial" w:cs="Arial" w:eastAsia="Arial" w:hAnsi="Arial"/>
          <w:b/>
          <w:bCs/>
          <w:color w:val="1A1A1A"/>
          <w:sz w:val="22"/>
          <w:szCs w:val="22"/>
        </w:rPr>
        <w:t xml:space="preserve">Nodes: </w:t>
      </w:r>
      <w:r>
        <w:rPr>
          <w:rFonts w:ascii="Arial" w:cs="Arial" w:eastAsia="Arial" w:hAnsi="Arial"/>
          <w:color w:val="1A1A1A"/>
          <w:sz w:val="22"/>
          <w:szCs w:val="22"/>
        </w:rPr>
        <w:t xml:space="preserve">Each node displays the move notation (e.g., “Bc5”) and optionally the variation name (“Giuoco Piano”). Nodes are color-coded by mastery status: gray (not started), amber (in progress), green (mastered).</w:t>
      </w:r>
    </w:p>
    <w:p>
      <w:pPr>
        <w:pStyle w:val="ListParagraph"/>
        <w:numPr>
          <w:ilvl w:val="0"/>
          <w:numId w:val="4"/>
        </w:numPr>
        <w:spacing w:after="140" w:line="280"/>
      </w:pPr>
      <w:r>
        <w:rPr>
          <w:rFonts w:ascii="Arial" w:cs="Arial" w:eastAsia="Arial" w:hAnsi="Arial"/>
          <w:b/>
          <w:bCs/>
          <w:color w:val="1A1A1A"/>
          <w:sz w:val="22"/>
          <w:szCs w:val="22"/>
        </w:rPr>
        <w:t xml:space="preserve">Edges: </w:t>
      </w:r>
      <w:r>
        <w:rPr>
          <w:rFonts w:ascii="Arial" w:cs="Arial" w:eastAsia="Arial" w:hAnsi="Arial"/>
          <w:color w:val="1A1A1A"/>
          <w:sz w:val="22"/>
          <w:szCs w:val="22"/>
        </w:rPr>
        <w:t xml:space="preserve">Thicker edges indicate more commonly played moves (based on master-game database frequency). Thinner edges indicate sidelines. Edge labels show the move notation.</w:t>
      </w:r>
    </w:p>
    <w:p>
      <w:pPr>
        <w:pStyle w:val="Heading2"/>
      </w:pPr>
      <w:r>
        <w:t xml:space="preserve">5.3 Interaction Model</w:t>
      </w:r>
    </w:p>
    <w:p>
      <w:pPr>
        <w:pStyle w:val="ListParagraph"/>
        <w:numPr>
          <w:ilvl w:val="0"/>
          <w:numId w:val="2"/>
        </w:numPr>
        <w:spacing w:after="80" w:line="280"/>
      </w:pPr>
      <w:r>
        <w:rPr>
          <w:rFonts w:ascii="Arial" w:cs="Arial" w:eastAsia="Arial" w:hAnsi="Arial"/>
          <w:color w:val="1A1A1A"/>
          <w:sz w:val="22"/>
          <w:szCs w:val="22"/>
        </w:rPr>
        <w:t xml:space="preserve">Tap a node: Shows a mini-board preview of the position at that point, plus the variation name and move number.</w:t>
      </w:r>
    </w:p>
    <w:p>
      <w:pPr>
        <w:pStyle w:val="ListParagraph"/>
        <w:numPr>
          <w:ilvl w:val="0"/>
          <w:numId w:val="2"/>
        </w:numPr>
        <w:spacing w:after="80" w:line="280"/>
      </w:pPr>
      <w:r>
        <w:rPr>
          <w:rFonts w:ascii="Arial" w:cs="Arial" w:eastAsia="Arial" w:hAnsi="Arial"/>
          <w:color w:val="1A1A1A"/>
          <w:sz w:val="22"/>
          <w:szCs w:val="22"/>
        </w:rPr>
        <w:t xml:space="preserve">Tap “Play this line”: Opens the drilling interface starting from the beginning of the line that passes through that node.</w:t>
      </w:r>
    </w:p>
    <w:p>
      <w:pPr>
        <w:pStyle w:val="ListParagraph"/>
        <w:numPr>
          <w:ilvl w:val="0"/>
          <w:numId w:val="2"/>
        </w:numPr>
        <w:spacing w:after="80" w:line="280"/>
      </w:pPr>
      <w:r>
        <w:rPr>
          <w:rFonts w:ascii="Arial" w:cs="Arial" w:eastAsia="Arial" w:hAnsi="Arial"/>
          <w:color w:val="1A1A1A"/>
          <w:sz w:val="22"/>
          <w:szCs w:val="22"/>
        </w:rPr>
        <w:t xml:space="preserve">Pinch-to-zoom: Users can zoom in to see deep branches or zoom out to see the full tree topology.</w:t>
      </w:r>
    </w:p>
    <w:p>
      <w:pPr>
        <w:pStyle w:val="ListParagraph"/>
        <w:numPr>
          <w:ilvl w:val="0"/>
          <w:numId w:val="2"/>
        </w:numPr>
        <w:spacing w:after="80" w:line="280"/>
      </w:pPr>
      <w:r>
        <w:rPr>
          <w:rFonts w:ascii="Arial" w:cs="Arial" w:eastAsia="Arial" w:hAnsi="Arial"/>
          <w:color w:val="1A1A1A"/>
          <w:sz w:val="22"/>
          <w:szCs w:val="22"/>
        </w:rPr>
        <w:t xml:space="preserve">Collapse/Expand: Tap a branch label to collapse all child nodes for a cleaner view.</w:t>
      </w:r>
    </w:p>
    <w:p>
      <w:pPr>
        <w:pStyle w:val="ListParagraph"/>
        <w:numPr>
          <w:ilvl w:val="0"/>
          <w:numId w:val="2"/>
        </w:numPr>
        <w:spacing w:after="140" w:line="280"/>
      </w:pPr>
      <w:r>
        <w:rPr>
          <w:rFonts w:ascii="Arial" w:cs="Arial" w:eastAsia="Arial" w:hAnsi="Arial"/>
          <w:color w:val="1A1A1A"/>
          <w:sz w:val="22"/>
          <w:szCs w:val="22"/>
        </w:rPr>
        <w:t xml:space="preserve">Progress overlay: Toggle a heat-map view showing mastery across the tree. Red = lines with failed attempts. Green = mastered. Gray = untouched.</w:t>
      </w:r>
    </w:p>
    <w:p>
      <w:pPr>
        <w:pStyle w:val="Heading2"/>
      </w:pPr>
      <w:r>
        <w:t xml:space="preserve">5.4 Technical Implementation</w:t>
      </w:r>
    </w:p>
    <w:p>
      <w:pPr>
        <w:spacing w:after="140" w:line="300"/>
        <w:jc w:val="left"/>
      </w:pPr>
      <w:r>
        <w:rPr>
          <w:rFonts w:ascii="Arial" w:cs="Arial" w:eastAsia="Arial" w:hAnsi="Arial"/>
          <w:color w:val="1A1A1A"/>
          <w:sz w:val="22"/>
          <w:szCs w:val="22"/>
        </w:rPr>
        <w:t xml:space="preserve">The tree can be rendered as an SVG or Canvas-based graph, using a force-directed or Dagre-style layout algorithm. The data structure is a DAG (directed acyclic graph) where shared trunk moves are represented once, and branches create child nodes. Libraries such as D3.js, React Flow, or ELK.js are candidates for the rendering layer. The tree data is derived directly from the course’s line definitions — the system computes shared prefixes and constructs the branching structure automatically.</w:t>
      </w:r>
    </w:p>
    <w:p>
      <w:pPr>
        <w:pBdr>
          <w:bottom w:val="single" w:color="D0C8B8" w:sz="2" w:space="1"/>
        </w:pBdr>
        <w:spacing w:before="200" w:after="200"/>
      </w:pPr>
    </w:p>
    <w:p>
      <w:pPr>
        <w:pStyle w:val="Heading1"/>
      </w:pPr>
      <w:r>
        <w:t xml:space="preserve">6. Training Modes</w:t>
      </w:r>
    </w:p>
    <w:p>
      <w:pPr>
        <w:pStyle w:val="Heading2"/>
      </w:pPr>
      <w:r>
        <w:t xml:space="preserve">6.1 Learn Mode</w:t>
      </w:r>
    </w:p>
    <w:p>
      <w:pPr>
        <w:spacing w:after="140" w:line="300"/>
        <w:jc w:val="left"/>
      </w:pPr>
      <w:r>
        <w:rPr>
          <w:rFonts w:ascii="Arial" w:cs="Arial" w:eastAsia="Arial" w:hAnsi="Arial"/>
          <w:color w:val="1A1A1A"/>
          <w:sz w:val="22"/>
          <w:szCs w:val="22"/>
        </w:rPr>
        <w:t xml:space="preserve">The introductory mode. The user plays through a line with full guidance: move explanations appear for every move, the correct target square is highlighted when the user selects the right piece, and incorrect moves trigger a corrective message with the right answer and its reasoning. The opponent’s moves play automatically after a brief delay. This mode is designed to build initial familiarity, not test recall.</w:t>
      </w:r>
    </w:p>
    <w:p>
      <w:pPr>
        <w:pStyle w:val="Heading2"/>
      </w:pPr>
      <w:r>
        <w:t xml:space="preserve">6.2 Practice Mode</w:t>
      </w:r>
    </w:p>
    <w:p>
      <w:pPr>
        <w:spacing w:after="140" w:line="300"/>
        <w:jc w:val="left"/>
      </w:pPr>
      <w:r>
        <w:rPr>
          <w:rFonts w:ascii="Arial" w:cs="Arial" w:eastAsia="Arial" w:hAnsi="Arial"/>
          <w:color w:val="1A1A1A"/>
          <w:sz w:val="22"/>
          <w:szCs w:val="22"/>
        </w:rPr>
        <w:t xml:space="preserve">No hints, no highlighted squares, no explanations during play. The user must recall the correct move entirely from memory. Incorrect moves are flagged, and the correct move is shown briefly before resetting to allow a retry. A “Show Hint” button is available but penalizes the confidence score for that line. This mode is the core training loop.</w:t>
      </w:r>
    </w:p>
    <w:p>
      <w:pPr>
        <w:pStyle w:val="Heading2"/>
      </w:pPr>
      <w:r>
        <w:t xml:space="preserve">6.3 Drill Mode</w:t>
      </w:r>
    </w:p>
    <w:p>
      <w:pPr>
        <w:spacing w:after="140" w:line="300"/>
        <w:jc w:val="left"/>
      </w:pPr>
      <w:r>
        <w:rPr>
          <w:rFonts w:ascii="Arial" w:cs="Arial" w:eastAsia="Arial" w:hAnsi="Arial"/>
          <w:color w:val="1A1A1A"/>
          <w:sz w:val="22"/>
          <w:szCs w:val="22"/>
        </w:rPr>
        <w:t xml:space="preserve">Streak-based testing. The system presents lines one after another. The user’s goal is to complete as many lines in a row without error as possible. Any mistake ends the streak. A leaderboard tracks best streaks. Lines are drawn from the user’s weakest areas first, with mastered lines appearing less frequently. This mode adds competitive pressure and is ideal for solidifying recall.</w:t>
      </w:r>
    </w:p>
    <w:p>
      <w:pPr>
        <w:pStyle w:val="Heading2"/>
      </w:pPr>
      <w:r>
        <w:t xml:space="preserve">6.4 Time Trial Mode</w:t>
      </w:r>
    </w:p>
    <w:p>
      <w:pPr>
        <w:spacing w:after="140" w:line="300"/>
        <w:jc w:val="left"/>
      </w:pPr>
      <w:r>
        <w:rPr>
          <w:rFonts w:ascii="Arial" w:cs="Arial" w:eastAsia="Arial" w:hAnsi="Arial"/>
          <w:color w:val="1A1A1A"/>
          <w:sz w:val="22"/>
          <w:szCs w:val="22"/>
        </w:rPr>
        <w:t xml:space="preserve">The user has 60 seconds to complete as many lines as possible. Correct moves add 3 seconds to the clock. Incorrect moves subtract 5 seconds. The clock accelerates as the user progresses. Lines are shorter (truncated to the first 8–10 moves) to keep pace high. This mode trains speed of recall and is designed to simulate the time-pressure conditions of a real blitz game.</w:t>
      </w:r>
    </w:p>
    <w:p>
      <w:pPr>
        <w:pStyle w:val="Heading2"/>
      </w:pPr>
      <w:r>
        <w:t xml:space="preserve">6.5 Both-Sides Mode</w:t>
      </w:r>
    </w:p>
    <w:p>
      <w:pPr>
        <w:spacing w:after="140" w:line="300"/>
        <w:jc w:val="left"/>
      </w:pPr>
      <w:r>
        <w:rPr>
          <w:rFonts w:ascii="Arial" w:cs="Arial" w:eastAsia="Arial" w:hAnsi="Arial"/>
          <w:color w:val="1A1A1A"/>
          <w:sz w:val="22"/>
          <w:szCs w:val="22"/>
        </w:rPr>
        <w:t xml:space="preserve">Every line can be practiced from the opposite side. When studying the Fried Liver from Black’s perspective, the user plays Black’s moves and White’s moves fire automatically. This is essential for players who want to learn how to defend against the Italian, or who switch between playing White and Black.</w:t>
      </w:r>
    </w:p>
    <w:p>
      <w:pPr>
        <w:pBdr>
          <w:bottom w:val="single" w:color="D0C8B8" w:sz="2" w:space="1"/>
        </w:pBdr>
        <w:spacing w:before="200" w:after="200"/>
      </w:pPr>
    </w:p>
    <w:p>
      <w:pPr>
        <w:pStyle w:val="Heading1"/>
      </w:pPr>
      <w:r>
        <w:t xml:space="preserve">7. Progress Tracking &amp; Spaced Repetition</w:t>
      </w:r>
    </w:p>
    <w:p>
      <w:pPr>
        <w:pStyle w:val="Heading2"/>
      </w:pPr>
      <w:r>
        <w:t xml:space="preserve">7.1 Confidence Scoring</w:t>
      </w:r>
    </w:p>
    <w:p>
      <w:pPr>
        <w:spacing w:after="140" w:line="300"/>
        <w:jc w:val="left"/>
      </w:pPr>
      <w:r>
        <w:rPr>
          <w:rFonts w:ascii="Arial" w:cs="Arial" w:eastAsia="Arial" w:hAnsi="Arial"/>
          <w:color w:val="1A1A1A"/>
          <w:sz w:val="22"/>
          <w:szCs w:val="22"/>
        </w:rPr>
        <w:t xml:space="preserve">Each line has a confidence score from 0 (untouched) to 100 (mastered). The score increases with successful completions and decreases with errors or long gaps since last practice. The score decays gradually over time (mimicking natural forgetting), ensuring users are prompted to review lines before they forget them.</w:t>
      </w:r>
    </w:p>
    <w:p>
      <w:pPr>
        <w:pStyle w:val="Heading2"/>
      </w:pPr>
      <w:r>
        <w:t xml:space="preserve">7.2 Spaced Repetition Algorithm</w:t>
      </w:r>
    </w:p>
    <w:p>
      <w:pPr>
        <w:spacing w:after="140" w:line="300"/>
        <w:jc w:val="left"/>
      </w:pPr>
      <w:r>
        <w:rPr>
          <w:rFonts w:ascii="Arial" w:cs="Arial" w:eastAsia="Arial" w:hAnsi="Arial"/>
          <w:color w:val="1A1A1A"/>
          <w:sz w:val="22"/>
          <w:szCs w:val="22"/>
        </w:rPr>
        <w:t xml:space="preserve">Lines are surfaced for review using a modified SM-2 algorithm. After each practice attempt, the interval before the line is presented again is adjusted based on performance: correct with no hints extends the interval significantly; correct with hints extends it moderately; incorrect shortens the interval. New lines start at short intervals (hours) and gradually extend to days, then weeks as mastery solidifies.</w:t>
      </w:r>
    </w:p>
    <w:p>
      <w:pPr>
        <w:pStyle w:val="Heading2"/>
      </w:pPr>
      <w:r>
        <w:t xml:space="preserve">7.3 Progress Dashboard</w:t>
      </w:r>
    </w:p>
    <w:p>
      <w:pPr>
        <w:spacing w:after="140" w:line="300"/>
        <w:jc w:val="left"/>
      </w:pPr>
      <w:r>
        <w:rPr>
          <w:rFonts w:ascii="Arial" w:cs="Arial" w:eastAsia="Arial" w:hAnsi="Arial"/>
          <w:color w:val="1A1A1A"/>
          <w:sz w:val="22"/>
          <w:szCs w:val="22"/>
        </w:rPr>
        <w:t xml:space="preserve">The course overview screen shows per-line mastery status: a progress bar for each line, color-coded by confidence. The Interactive Variation Tree also reflects this data, creating a visual “heat map” of the user’s knowledge across the opening. Aggregate statistics include: total lines mastered, current longest streak, total practice sessions, and estimated time to full course mastery.</w:t>
      </w:r>
    </w:p>
    <w:p>
      <w:pPr>
        <w:pBdr>
          <w:bottom w:val="single" w:color="D0C8B8" w:sz="2" w:space="1"/>
        </w:pBdr>
        <w:spacing w:before="200" w:after="200"/>
      </w:pPr>
    </w:p>
    <w:p>
      <w:pPr>
        <w:pStyle w:val="Heading1"/>
      </w:pPr>
      <w:r>
        <w:t xml:space="preserve">8. Data Architecture</w:t>
      </w:r>
    </w:p>
    <w:p>
      <w:pPr>
        <w:pStyle w:val="Heading2"/>
      </w:pPr>
      <w:r>
        <w:t xml:space="preserve">8.1 Course Data Model</w:t>
      </w:r>
    </w:p>
    <w:p>
      <w:pPr>
        <w:spacing w:after="140" w:line="300"/>
        <w:jc w:val="left"/>
      </w:pPr>
      <w:r>
        <w:rPr>
          <w:rFonts w:ascii="Arial" w:cs="Arial" w:eastAsia="Arial" w:hAnsi="Arial"/>
          <w:color w:val="1A1A1A"/>
          <w:sz w:val="22"/>
          <w:szCs w:val="22"/>
        </w:rPr>
        <w:t xml:space="preserve">Each course is a JSON structure containing metadata (name, description, ECO codes, default side) and an array of lines. Each line contains metadata (name, category, description, difficulty rating) and an ordered array of moves. Each move contains: from-square, to-square, algebraic notation, optional promotion piece, optional special flags (castling, en passant), and an explanation string.</w:t>
      </w:r>
    </w:p>
    <w:p>
      <w:pPr>
        <w:pStyle w:val="Heading2"/>
      </w:pPr>
      <w:r>
        <w:t xml:space="preserve">8.2 Variation Tree Derivation</w:t>
      </w:r>
    </w:p>
    <w:p>
      <w:pPr>
        <w:spacing w:after="140" w:line="300"/>
        <w:jc w:val="left"/>
      </w:pPr>
      <w:r>
        <w:rPr>
          <w:rFonts w:ascii="Arial" w:cs="Arial" w:eastAsia="Arial" w:hAnsi="Arial"/>
          <w:color w:val="1A1A1A"/>
          <w:sz w:val="22"/>
          <w:szCs w:val="22"/>
        </w:rPr>
        <w:t xml:space="preserve">The tree is not stored separately. It is computed at load time by finding shared prefixes among all lines in the course. The algorithm walks through all lines simultaneously, grouping moves that are identical across lines, and creating branch nodes where lines diverge. This means adding a new line to a course automatically updates the tree without manual tree editing.</w:t>
      </w:r>
    </w:p>
    <w:p>
      <w:pPr>
        <w:pStyle w:val="Heading2"/>
      </w:pPr>
      <w:r>
        <w:t xml:space="preserve">8.3 User Progress Data</w:t>
      </w:r>
    </w:p>
    <w:p>
      <w:pPr>
        <w:spacing w:after="140" w:line="300"/>
        <w:jc w:val="left"/>
      </w:pPr>
      <w:r>
        <w:rPr>
          <w:rFonts w:ascii="Arial" w:cs="Arial" w:eastAsia="Arial" w:hAnsi="Arial"/>
          <w:color w:val="1A1A1A"/>
          <w:sz w:val="22"/>
          <w:szCs w:val="22"/>
        </w:rPr>
        <w:t xml:space="preserve">Per-user, per-line data includes: number of completions, number of errors, timestamp of last attempt, current confidence score, current spaced-repetition interval, and per-move error history (which specific moves the user gets wrong most often). This per-move data enables targeted review — the system could eventually offer “problem move” drills focusing only on the user’s weak spots within a line.</w:t>
      </w:r>
    </w:p>
    <w:p>
      <w:pPr>
        <w:pBdr>
          <w:bottom w:val="single" w:color="D0C8B8" w:sz="2" w:space="1"/>
        </w:pBdr>
        <w:spacing w:before="200" w:after="200"/>
      </w:pPr>
    </w:p>
    <w:p>
      <w:pPr>
        <w:pStyle w:val="Heading1"/>
      </w:pPr>
      <w:r>
        <w:t xml:space="preserve">9. Future Roadmap</w:t>
      </w:r>
    </w:p>
    <w:p>
      <w:pPr>
        <w:pStyle w:val="Heading2"/>
      </w:pPr>
      <w:r>
        <w:t xml:space="preserve">Phase 1 (Launch)</w:t>
      </w:r>
    </w:p>
    <w:p>
      <w:pPr>
        <w:pStyle w:val="ListParagraph"/>
        <w:numPr>
          <w:ilvl w:val="0"/>
          <w:numId w:val="5"/>
        </w:numPr>
        <w:spacing w:after="80" w:line="280"/>
      </w:pPr>
      <w:r>
        <w:rPr>
          <w:rFonts w:ascii="Arial" w:cs="Arial" w:eastAsia="Arial" w:hAnsi="Arial"/>
          <w:color w:val="1A1A1A"/>
          <w:sz w:val="22"/>
          <w:szCs w:val="22"/>
        </w:rPr>
        <w:t xml:space="preserve">Italian Game course with all 39 lines, Learn and Practice modes</w:t>
      </w:r>
    </w:p>
    <w:p>
      <w:pPr>
        <w:pStyle w:val="ListParagraph"/>
        <w:numPr>
          <w:ilvl w:val="0"/>
          <w:numId w:val="5"/>
        </w:numPr>
        <w:spacing w:after="80" w:line="280"/>
      </w:pPr>
      <w:r>
        <w:rPr>
          <w:rFonts w:ascii="Arial" w:cs="Arial" w:eastAsia="Arial" w:hAnsi="Arial"/>
          <w:color w:val="1A1A1A"/>
          <w:sz w:val="22"/>
          <w:szCs w:val="22"/>
        </w:rPr>
        <w:t xml:space="preserve">Interactive Variation Tree with node-tap navigation and progress overlay</w:t>
      </w:r>
    </w:p>
    <w:p>
      <w:pPr>
        <w:pStyle w:val="ListParagraph"/>
        <w:numPr>
          <w:ilvl w:val="0"/>
          <w:numId w:val="5"/>
        </w:numPr>
        <w:spacing w:after="140" w:line="280"/>
      </w:pPr>
      <w:r>
        <w:rPr>
          <w:rFonts w:ascii="Arial" w:cs="Arial" w:eastAsia="Arial" w:hAnsi="Arial"/>
          <w:color w:val="1A1A1A"/>
          <w:sz w:val="22"/>
          <w:szCs w:val="22"/>
        </w:rPr>
        <w:t xml:space="preserve">Basic confidence scoring and progress dashboard</w:t>
      </w:r>
    </w:p>
    <w:p>
      <w:pPr>
        <w:pStyle w:val="Heading2"/>
      </w:pPr>
      <w:r>
        <w:t xml:space="preserve">Phase 2 (Month 2–3)</w:t>
      </w:r>
    </w:p>
    <w:p>
      <w:pPr>
        <w:pStyle w:val="ListParagraph"/>
        <w:numPr>
          <w:ilvl w:val="0"/>
          <w:numId w:val="6"/>
        </w:numPr>
        <w:spacing w:after="80" w:line="280"/>
      </w:pPr>
      <w:r>
        <w:rPr>
          <w:rFonts w:ascii="Arial" w:cs="Arial" w:eastAsia="Arial" w:hAnsi="Arial"/>
          <w:color w:val="1A1A1A"/>
          <w:sz w:val="22"/>
          <w:szCs w:val="22"/>
        </w:rPr>
        <w:t xml:space="preserve">Drill Mode and Time Trial Mode</w:t>
      </w:r>
    </w:p>
    <w:p>
      <w:pPr>
        <w:pStyle w:val="ListParagraph"/>
        <w:numPr>
          <w:ilvl w:val="0"/>
          <w:numId w:val="6"/>
        </w:numPr>
        <w:spacing w:after="80" w:line="280"/>
      </w:pPr>
      <w:r>
        <w:rPr>
          <w:rFonts w:ascii="Arial" w:cs="Arial" w:eastAsia="Arial" w:hAnsi="Arial"/>
          <w:color w:val="1A1A1A"/>
          <w:sz w:val="22"/>
          <w:szCs w:val="22"/>
        </w:rPr>
        <w:t xml:space="preserve">Spaced repetition algorithm for line scheduling</w:t>
      </w:r>
    </w:p>
    <w:p>
      <w:pPr>
        <w:pStyle w:val="ListParagraph"/>
        <w:numPr>
          <w:ilvl w:val="0"/>
          <w:numId w:val="6"/>
        </w:numPr>
        <w:spacing w:after="80" w:line="280"/>
      </w:pPr>
      <w:r>
        <w:rPr>
          <w:rFonts w:ascii="Arial" w:cs="Arial" w:eastAsia="Arial" w:hAnsi="Arial"/>
          <w:color w:val="1A1A1A"/>
          <w:sz w:val="22"/>
          <w:szCs w:val="22"/>
        </w:rPr>
        <w:t xml:space="preserve">Both-sides training for all lines</w:t>
      </w:r>
    </w:p>
    <w:p>
      <w:pPr>
        <w:pStyle w:val="ListParagraph"/>
        <w:numPr>
          <w:ilvl w:val="0"/>
          <w:numId w:val="6"/>
        </w:numPr>
        <w:spacing w:after="140" w:line="280"/>
      </w:pPr>
      <w:r>
        <w:rPr>
          <w:rFonts w:ascii="Arial" w:cs="Arial" w:eastAsia="Arial" w:hAnsi="Arial"/>
          <w:color w:val="1A1A1A"/>
          <w:sz w:val="22"/>
          <w:szCs w:val="22"/>
        </w:rPr>
        <w:t xml:space="preserve">Second course: The Sicilian Defense (1.e4 c5)</w:t>
      </w:r>
    </w:p>
    <w:p>
      <w:pPr>
        <w:pStyle w:val="Heading2"/>
      </w:pPr>
      <w:r>
        <w:t xml:space="preserve">Phase 3 (Month 4–6)</w:t>
      </w:r>
    </w:p>
    <w:p>
      <w:pPr>
        <w:pStyle w:val="ListParagraph"/>
        <w:numPr>
          <w:ilvl w:val="0"/>
          <w:numId w:val="7"/>
        </w:numPr>
        <w:spacing w:after="80" w:line="280"/>
      </w:pPr>
      <w:r>
        <w:rPr>
          <w:rFonts w:ascii="Arial" w:cs="Arial" w:eastAsia="Arial" w:hAnsi="Arial"/>
          <w:color w:val="1A1A1A"/>
          <w:sz w:val="22"/>
          <w:szCs w:val="22"/>
        </w:rPr>
        <w:t xml:space="preserve">Community course creation tools (PGN import, explanation editor)</w:t>
      </w:r>
    </w:p>
    <w:p>
      <w:pPr>
        <w:pStyle w:val="ListParagraph"/>
        <w:numPr>
          <w:ilvl w:val="0"/>
          <w:numId w:val="7"/>
        </w:numPr>
        <w:spacing w:after="80" w:line="280"/>
      </w:pPr>
      <w:r>
        <w:rPr>
          <w:rFonts w:ascii="Arial" w:cs="Arial" w:eastAsia="Arial" w:hAnsi="Arial"/>
          <w:color w:val="1A1A1A"/>
          <w:sz w:val="22"/>
          <w:szCs w:val="22"/>
        </w:rPr>
        <w:t xml:space="preserve">Puzzle mode: Tactical positions from real games featuring the opening</w:t>
      </w:r>
    </w:p>
    <w:p>
      <w:pPr>
        <w:pStyle w:val="ListParagraph"/>
        <w:numPr>
          <w:ilvl w:val="0"/>
          <w:numId w:val="7"/>
        </w:numPr>
        <w:spacing w:after="80" w:line="280"/>
      </w:pPr>
      <w:r>
        <w:rPr>
          <w:rFonts w:ascii="Arial" w:cs="Arial" w:eastAsia="Arial" w:hAnsi="Arial"/>
          <w:color w:val="1A1A1A"/>
          <w:sz w:val="22"/>
          <w:szCs w:val="22"/>
        </w:rPr>
        <w:t xml:space="preserve">Leaderboards (daily, weekly, all-time) for Drill and Time Trial</w:t>
      </w:r>
    </w:p>
    <w:p>
      <w:pPr>
        <w:pStyle w:val="ListParagraph"/>
        <w:numPr>
          <w:ilvl w:val="0"/>
          <w:numId w:val="7"/>
        </w:numPr>
        <w:spacing w:after="80" w:line="280"/>
      </w:pPr>
      <w:r>
        <w:rPr>
          <w:rFonts w:ascii="Arial" w:cs="Arial" w:eastAsia="Arial" w:hAnsi="Arial"/>
          <w:color w:val="1A1A1A"/>
          <w:sz w:val="22"/>
          <w:szCs w:val="22"/>
        </w:rPr>
        <w:t xml:space="preserve">Repertoire Dojo: Practice all learned lines across all courses in a single mixed session</w:t>
      </w:r>
    </w:p>
    <w:p>
      <w:pPr>
        <w:pStyle w:val="ListParagraph"/>
        <w:numPr>
          <w:ilvl w:val="0"/>
          <w:numId w:val="7"/>
        </w:numPr>
        <w:spacing w:after="80" w:line="280"/>
      </w:pPr>
      <w:r>
        <w:rPr>
          <w:rFonts w:ascii="Arial" w:cs="Arial" w:eastAsia="Arial" w:hAnsi="Arial"/>
          <w:color w:val="1A1A1A"/>
          <w:sz w:val="22"/>
          <w:szCs w:val="22"/>
        </w:rPr>
        <w:t xml:space="preserve">Additional courses: Ruy Lopez, Queen’s Gambit, London System, King’s Indian, French Defense, Caro-Kann</w:t>
      </w:r>
    </w:p>
    <w:p>
      <w:pPr>
        <w:spacing w:after="200"/>
      </w:pPr>
    </w:p>
    <w:p>
      <w:pPr>
        <w:pBdr>
          <w:bottom w:val="single" w:color="D0C8B8" w:sz="2" w:space="1"/>
        </w:pBdr>
        <w:spacing w:before="200" w:after="200"/>
      </w:pPr>
    </w:p>
    <w:p>
      <w:pPr>
        <w:spacing w:after="100"/>
      </w:pPr>
    </w:p>
    <w:p>
      <w:pPr>
        <w:jc w:val="center"/>
      </w:pPr>
      <w:r>
        <w:rPr>
          <w:rFonts w:ascii="Georgia" w:cs="Georgia" w:eastAsia="Georgia" w:hAnsi="Georgia"/>
          <w:i/>
          <w:iCs/>
          <w:color w:val="888888"/>
          <w:sz w:val="22"/>
          <w:szCs w:val="22"/>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C8B8" w:sz="1" w:space="4"/>
      </w:pBdr>
      <w:jc w:val="center"/>
    </w:pPr>
    <w:r>
      <w:rPr>
        <w:rFonts w:ascii="Arial" w:cs="Arial" w:eastAsia="Arial" w:hAnsi="Arial"/>
        <w:color w:val="888888"/>
        <w:sz w:val="16"/>
        <w:szCs w:val="16"/>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C8B8" w:sz="1" w:space="4"/>
      </w:pBdr>
      <w:jc w:val="right"/>
    </w:pPr>
    <w:r>
      <w:rPr>
        <w:rFonts w:ascii="Arial" w:cs="Arial" w:eastAsia="Arial" w:hAnsi="Arial"/>
        <w:i/>
        <w:iCs/>
        <w:color w:val="888888"/>
        <w:sz w:val="18"/>
        <w:szCs w:val="18"/>
      </w:rPr>
      <w:t xml:space="preserve">Chess Opening Trainer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Georgia" w:cs="Georgia" w:eastAsia="Georgia" w:hAnsi="Georgia"/>
      <w:b/>
      <w:bCs/>
      <w:color w:val="2B4C3F"/>
      <w:sz w:val="36"/>
      <w:szCs w:val="36"/>
    </w:rPr>
  </w:style>
  <w:style w:type="paragraph" w:styleId="Heading2">
    <w:name w:val="Heading 2"/>
    <w:basedOn w:val="Normal"/>
    <w:next w:val="Normal"/>
    <w:qFormat/>
    <w:pPr>
      <w:spacing w:before="280" w:after="140"/>
      <w:outlineLvl w:val="1"/>
    </w:pPr>
    <w:rPr>
      <w:rFonts w:ascii="Georgia" w:cs="Georgia" w:eastAsia="Georgia" w:hAnsi="Georgia"/>
      <w:b/>
      <w:bCs/>
      <w:color w:val="2B4C3F"/>
      <w:sz w:val="28"/>
      <w:szCs w:val="28"/>
    </w:rPr>
  </w:style>
  <w:style w:type="paragraph" w:styleId="Heading3">
    <w:name w:val="Heading 3"/>
    <w:basedOn w:val="Normal"/>
    <w:next w:val="Normal"/>
    <w:qFormat/>
    <w:pPr>
      <w:spacing w:before="220" w:after="100"/>
      <w:outlineLvl w:val="2"/>
    </w:pPr>
    <w:rPr>
      <w:rFonts w:ascii="Georgia" w:cs="Georgia" w:eastAsia="Georgia" w:hAnsi="Georgia"/>
      <w:b/>
      <w:bCs/>
      <w:color w:val="C17F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2026-03-08T04:50:56.937Z</dcterms:created>
  <dcterms:modified xsi:type="dcterms:W3CDTF">2026-03-08T04:50:56.938Z</dcterms:modified>
</cp:coreProperties>
</file>

<file path=docProps/custom.xml><?xml version="1.0" encoding="utf-8"?>
<Properties xmlns="http://schemas.openxmlformats.org/officeDocument/2006/custom-properties" xmlns:vt="http://schemas.openxmlformats.org/officeDocument/2006/docPropsVTypes"/>
</file>