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Segoe UI Emoji" w:cs="Segoe UI Emoji" w:eastAsia="Segoe UI Emoji" w:hAnsi="Segoe UI Emoji"/>
          <w:color w:val="1E3A5F"/>
          <w:sz w:val="96"/>
          <w:szCs w:val="96"/>
        </w:rPr>
        <w:t xml:space="preserve">♟</w:t>
      </w:r>
    </w:p>
    <w:p>
      <w:pPr>
        <w:spacing w:before="240" w:after="80"/>
        <w:jc w:val="center"/>
      </w:pPr>
      <w:r>
        <w:rPr>
          <w:rFonts w:ascii="Arial" w:cs="Arial" w:eastAsia="Arial" w:hAnsi="Arial"/>
          <w:b/>
          <w:bCs/>
          <w:color w:val="1E3A5F"/>
          <w:sz w:val="64"/>
          <w:szCs w:val="64"/>
        </w:rPr>
        <w:t xml:space="preserve">OpeningIQ</w:t>
      </w:r>
    </w:p>
    <w:p>
      <w:pPr>
        <w:spacing w:before="0" w:after="80"/>
        <w:jc w:val="center"/>
      </w:pPr>
      <w:r>
        <w:rPr>
          <w:rFonts w:ascii="Arial" w:cs="Arial" w:eastAsia="Arial" w:hAnsi="Arial"/>
          <w:color w:val="555555"/>
          <w:sz w:val="32"/>
          <w:szCs w:val="32"/>
        </w:rPr>
        <w:t xml:space="preserve">Chess Opening Trainer</w:t>
      </w:r>
    </w:p>
    <w:p>
      <w:pPr>
        <w:spacing w:before="160" w:after="0"/>
      </w:pPr>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single" w:color="CCCCCC" w:sz="1"/>
              <w:left w:val="single" w:color="CCCCCC" w:sz="1"/>
              <w:bottom w:val="single" w:color="CCCCCC" w:sz="1"/>
              <w:right w:val="single" w:color="CCCCCC" w:sz="1"/>
            </w:tcBorders>
            <w:shd w:fill="1E3A5F" w:val="clear"/>
            <w:tcMar>
              <w:top w:type="dxa" w:w="200"/>
              <w:left w:type="dxa" w:w="400"/>
              <w:bottom w:type="dxa" w:w="200"/>
              <w:right w:type="dxa" w:w="400"/>
            </w:tcMar>
          </w:tcPr>
          <w:p>
            <w:pPr>
              <w:jc w:val="center"/>
            </w:pPr>
            <w:r>
              <w:rPr>
                <w:rFonts w:ascii="Arial" w:cs="Arial" w:eastAsia="Arial" w:hAnsi="Arial"/>
                <w:b/>
                <w:bCs/>
                <w:color w:val="FFFFFF"/>
                <w:sz w:val="40"/>
                <w:szCs w:val="40"/>
              </w:rPr>
              <w:t xml:space="preserve">Product Requirements Document</w:t>
            </w:r>
          </w:p>
          <w:p>
            <w:pPr>
              <w:spacing w:before="80"/>
              <w:jc w:val="center"/>
            </w:pPr>
            <w:r>
              <w:rPr>
                <w:rFonts w:ascii="Arial" w:cs="Arial" w:eastAsia="Arial" w:hAnsi="Arial"/>
                <w:color w:val="D6E4F0"/>
                <w:sz w:val="20"/>
                <w:szCs w:val="20"/>
              </w:rPr>
              <w:t xml:space="preserve">Version 1.0  |  February 2026</w:t>
            </w:r>
          </w:p>
        </w:tc>
      </w:tr>
    </w:tbl>
    <w:p>
      <w:pPr>
        <w:spacing w:before="2400" w:after="0"/>
      </w:pPr>
      <w:r>
        <w:t xml:space="preserve"/>
      </w:r>
    </w:p>
    <w:p>
      <w:r>
        <w:br w:type="pag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1. Product Overview</w:t>
      </w:r>
    </w:p>
    <w:p>
      <w:pPr>
        <w:spacing w:before="80" w:after="0"/>
      </w:pPr>
      <w:r>
        <w:t xml:space="preserve"/>
      </w:r>
    </w:p>
    <w:p>
      <w:pPr>
        <w:spacing w:before="80" w:after="80"/>
      </w:pPr>
      <w:r>
        <w:rPr>
          <w:rFonts w:ascii="Arial" w:cs="Arial" w:eastAsia="Arial" w:hAnsi="Arial"/>
          <w:color w:val="1A1A2E"/>
          <w:sz w:val="22"/>
          <w:szCs w:val="22"/>
        </w:rPr>
        <w:t xml:space="preserve">OpeningIQ is a web-based chess opening trainer designed for casual players who have plateaued in ELO rating and want to understand chess more deeply — not just memorize moves, but genuinely understand why positions want specific moves. The product pairs a live chess board against a Stockfish engine opponent with an intelligent left-panel coach that explains piece activity, pawn structure changes, and king safety deltas after every half-move.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Core Value Proposition</w:t>
            </w:r>
          </w:p>
          <w:p>
            <w:pPr>
              <w:spacing w:before="0" w:after="0"/>
            </w:pPr>
            <w:r>
              <w:rPr>
                <w:rFonts w:ascii="Arial" w:cs="Arial" w:eastAsia="Arial" w:hAnsi="Arial"/>
                <w:color w:val="1A1A2E"/>
                <w:sz w:val="22"/>
                <w:szCs w:val="22"/>
              </w:rPr>
              <w:t xml:space="preserve">Most opening trainers teach you what to play. OpeningIQ teaches you why — combining engine analysis with contextual commentary so that every move builds your positional intuition rather than your rote memory.</w:t>
            </w:r>
          </w:p>
        </w:tc>
      </w:tr>
    </w:tbl>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2. Target Users &amp; Goals</w:t>
      </w:r>
    </w:p>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2.1 Primary Persona</w:t>
      </w:r>
    </w:p>
    <w:p>
      <w:pPr>
        <w:spacing w:before="80" w:after="80"/>
      </w:pPr>
      <w:r>
        <w:rPr>
          <w:rFonts w:ascii="Arial" w:cs="Arial" w:eastAsia="Arial" w:hAnsi="Arial"/>
          <w:color w:val="1A1A2E"/>
          <w:sz w:val="22"/>
          <w:szCs w:val="22"/>
        </w:rPr>
        <w:t xml:space="preserve">Casual-to-intermediate chess player, roughly 800–1400 ELO on Lichess or Chess.com. Has learned the basic rules and tactics but feels lost in the opening and struggles to transition into a strong middlegame. Wants to improve but finds pure memorization apps like Chessable too rote and dry.</w:t>
      </w:r>
    </w:p>
    <w:p>
      <w:pPr>
        <w:spacing w:before="12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2.2 User Goals</w:t>
      </w:r>
    </w:p>
    <w:p>
      <w:pPr>
        <w:pStyle w:val="ListParagraph"/>
        <w:numPr>
          <w:ilvl w:val="0"/>
          <w:numId w:val="2"/>
        </w:numPr>
        <w:spacing w:before="60" w:after="60"/>
      </w:pPr>
      <w:r>
        <w:rPr>
          <w:rFonts w:ascii="Arial" w:cs="Arial" w:eastAsia="Arial" w:hAnsi="Arial"/>
          <w:color w:val="1A1A2E"/>
          <w:sz w:val="22"/>
          <w:szCs w:val="22"/>
        </w:rPr>
        <w:t xml:space="preserve">Understand the positional ideas behind their chosen opening, not just the moves</w:t>
      </w:r>
    </w:p>
    <w:p>
      <w:pPr>
        <w:pStyle w:val="ListParagraph"/>
        <w:numPr>
          <w:ilvl w:val="0"/>
          <w:numId w:val="2"/>
        </w:numPr>
        <w:spacing w:before="60" w:after="60"/>
      </w:pPr>
      <w:r>
        <w:rPr>
          <w:rFonts w:ascii="Arial" w:cs="Arial" w:eastAsia="Arial" w:hAnsi="Arial"/>
          <w:color w:val="1A1A2E"/>
          <w:sz w:val="22"/>
          <w:szCs w:val="22"/>
        </w:rPr>
        <w:t xml:space="preserve">Be able to practice against a realistic opponent who stays in theory</w:t>
      </w:r>
    </w:p>
    <w:p>
      <w:pPr>
        <w:pStyle w:val="ListParagraph"/>
        <w:numPr>
          <w:ilvl w:val="0"/>
          <w:numId w:val="2"/>
        </w:numPr>
        <w:spacing w:before="60" w:after="60"/>
      </w:pPr>
      <w:r>
        <w:rPr>
          <w:rFonts w:ascii="Arial" w:cs="Arial" w:eastAsia="Arial" w:hAnsi="Arial"/>
          <w:color w:val="1A1A2E"/>
          <w:sz w:val="22"/>
          <w:szCs w:val="22"/>
        </w:rPr>
        <w:t xml:space="preserve">See concrete metrics that explain why a move is good or bad</w:t>
      </w:r>
    </w:p>
    <w:p>
      <w:pPr>
        <w:pStyle w:val="ListParagraph"/>
        <w:numPr>
          <w:ilvl w:val="0"/>
          <w:numId w:val="2"/>
        </w:numPr>
        <w:spacing w:before="60" w:after="60"/>
      </w:pPr>
      <w:r>
        <w:rPr>
          <w:rFonts w:ascii="Arial" w:cs="Arial" w:eastAsia="Arial" w:hAnsi="Arial"/>
          <w:color w:val="1A1A2E"/>
          <w:sz w:val="22"/>
          <w:szCs w:val="22"/>
        </w:rPr>
        <w:t xml:space="preserve">Finish the game out after the opening ends, applying what they just learned</w:t>
      </w:r>
    </w:p>
    <w:p>
      <w:pPr>
        <w:spacing w:before="12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2.3 Non-Goals (v1)</w:t>
      </w:r>
    </w:p>
    <w:p>
      <w:pPr>
        <w:pStyle w:val="ListParagraph"/>
        <w:numPr>
          <w:ilvl w:val="0"/>
          <w:numId w:val="2"/>
        </w:numPr>
        <w:spacing w:before="60" w:after="60"/>
      </w:pPr>
      <w:r>
        <w:rPr>
          <w:rFonts w:ascii="Arial" w:cs="Arial" w:eastAsia="Arial" w:hAnsi="Arial"/>
          <w:color w:val="1A1A2E"/>
          <w:sz w:val="22"/>
          <w:szCs w:val="22"/>
        </w:rPr>
        <w:t xml:space="preserve">Multiplayer / play against other humans</w:t>
      </w:r>
    </w:p>
    <w:p>
      <w:pPr>
        <w:pStyle w:val="ListParagraph"/>
        <w:numPr>
          <w:ilvl w:val="0"/>
          <w:numId w:val="2"/>
        </w:numPr>
        <w:spacing w:before="60" w:after="60"/>
      </w:pPr>
      <w:r>
        <w:rPr>
          <w:rFonts w:ascii="Arial" w:cs="Arial" w:eastAsia="Arial" w:hAnsi="Arial"/>
          <w:color w:val="1A1A2E"/>
          <w:sz w:val="22"/>
          <w:szCs w:val="22"/>
        </w:rPr>
        <w:t xml:space="preserve">Middlegame or endgame training (planned for future versions)</w:t>
      </w:r>
    </w:p>
    <w:p>
      <w:pPr>
        <w:pStyle w:val="ListParagraph"/>
        <w:numPr>
          <w:ilvl w:val="0"/>
          <w:numId w:val="2"/>
        </w:numPr>
        <w:spacing w:before="60" w:after="60"/>
      </w:pPr>
      <w:r>
        <w:rPr>
          <w:rFonts w:ascii="Arial" w:cs="Arial" w:eastAsia="Arial" w:hAnsi="Arial"/>
          <w:color w:val="1A1A2E"/>
          <w:sz w:val="22"/>
          <w:szCs w:val="22"/>
        </w:rPr>
        <w:t xml:space="preserve">User accounts, leaderboards, or social features</w:t>
      </w:r>
    </w:p>
    <w:p>
      <w:pPr>
        <w:pStyle w:val="ListParagraph"/>
        <w:numPr>
          <w:ilvl w:val="0"/>
          <w:numId w:val="2"/>
        </w:numPr>
        <w:spacing w:before="60" w:after="60"/>
      </w:pPr>
      <w:r>
        <w:rPr>
          <w:rFonts w:ascii="Arial" w:cs="Arial" w:eastAsia="Arial" w:hAnsi="Arial"/>
          <w:color w:val="1A1A2E"/>
          <w:sz w:val="22"/>
          <w:szCs w:val="22"/>
        </w:rPr>
        <w:t xml:space="preserve">Mobile app — web-only for v1</w:t>
      </w:r>
    </w:p>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3. Feature Requirements</w:t>
      </w:r>
    </w:p>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3.1 Opening Selection</w:t>
      </w:r>
    </w:p>
    <w:p>
      <w:pPr>
        <w:spacing w:before="80" w:after="80"/>
      </w:pPr>
      <w:r>
        <w:rPr>
          <w:rFonts w:ascii="Arial" w:cs="Arial" w:eastAsia="Arial" w:hAnsi="Arial"/>
          <w:color w:val="1A1A2E"/>
          <w:sz w:val="22"/>
          <w:szCs w:val="22"/>
        </w:rPr>
        <w:t xml:space="preserve">The home screen presents a curated library of 12–15 openings for v1. Openings are organized by playing style (aggressive, solid, positional) and by color (playing as White vs. Black). Each card shows the opening name, ECO code, a short flavor description, and a difficulty tag (Beginner / Intermediate). The player selects an opening and is taken directly to the board.</w:t>
      </w:r>
    </w:p>
    <w:p>
      <w:pPr>
        <w:spacing w:before="80" w:after="0"/>
      </w:pPr>
      <w:r>
        <w:t xml:space="preserve"/>
      </w:r>
    </w:p>
    <w:p>
      <w:pPr>
        <w:spacing w:before="80" w:after="80"/>
      </w:pPr>
      <w:r>
        <w:rPr>
          <w:rFonts w:ascii="Arial" w:cs="Arial" w:eastAsia="Arial" w:hAnsi="Arial"/>
          <w:color w:val="1A1A2E"/>
          <w:sz w:val="22"/>
          <w:szCs w:val="22"/>
        </w:rPr>
        <w:t xml:space="preserve">v1 Opening Library:</w:t>
      </w:r>
    </w:p>
    <w:p>
      <w:pPr>
        <w:pStyle w:val="ListParagraph"/>
        <w:numPr>
          <w:ilvl w:val="0"/>
          <w:numId w:val="2"/>
        </w:numPr>
        <w:spacing w:before="60" w:after="60"/>
      </w:pPr>
      <w:r>
        <w:rPr>
          <w:rFonts w:ascii="Arial" w:cs="Arial" w:eastAsia="Arial" w:hAnsi="Arial"/>
          <w:color w:val="1A1A2E"/>
          <w:sz w:val="22"/>
          <w:szCs w:val="22"/>
        </w:rPr>
        <w:t xml:space="preserve">Italian Game (e4 e5 Nf3 Nc6 Bc4) — White, Beginner</w:t>
      </w:r>
    </w:p>
    <w:p>
      <w:pPr>
        <w:pStyle w:val="ListParagraph"/>
        <w:numPr>
          <w:ilvl w:val="0"/>
          <w:numId w:val="2"/>
        </w:numPr>
        <w:spacing w:before="60" w:after="60"/>
      </w:pPr>
      <w:r>
        <w:rPr>
          <w:rFonts w:ascii="Arial" w:cs="Arial" w:eastAsia="Arial" w:hAnsi="Arial"/>
          <w:color w:val="1A1A2E"/>
          <w:sz w:val="22"/>
          <w:szCs w:val="22"/>
        </w:rPr>
        <w:t xml:space="preserve">Ruy Lopez (e4 e5 Nf3 Nc6 Bb5) — White, Intermediate</w:t>
      </w:r>
    </w:p>
    <w:p>
      <w:pPr>
        <w:pStyle w:val="ListParagraph"/>
        <w:numPr>
          <w:ilvl w:val="0"/>
          <w:numId w:val="2"/>
        </w:numPr>
        <w:spacing w:before="60" w:after="60"/>
      </w:pPr>
      <w:r>
        <w:rPr>
          <w:rFonts w:ascii="Arial" w:cs="Arial" w:eastAsia="Arial" w:hAnsi="Arial"/>
          <w:color w:val="1A1A2E"/>
          <w:sz w:val="22"/>
          <w:szCs w:val="22"/>
        </w:rPr>
        <w:t xml:space="preserve">London System (d4 d5 Nf3 Nf6 Bf4) — White, Beginner</w:t>
      </w:r>
    </w:p>
    <w:p>
      <w:pPr>
        <w:pStyle w:val="ListParagraph"/>
        <w:numPr>
          <w:ilvl w:val="0"/>
          <w:numId w:val="2"/>
        </w:numPr>
        <w:spacing w:before="60" w:after="60"/>
      </w:pPr>
      <w:r>
        <w:rPr>
          <w:rFonts w:ascii="Arial" w:cs="Arial" w:eastAsia="Arial" w:hAnsi="Arial"/>
          <w:color w:val="1A1A2E"/>
          <w:sz w:val="22"/>
          <w:szCs w:val="22"/>
        </w:rPr>
        <w:t xml:space="preserve">Queen's Gambit (d4 d5 c4) — White, Intermediate</w:t>
      </w:r>
    </w:p>
    <w:p>
      <w:pPr>
        <w:pStyle w:val="ListParagraph"/>
        <w:numPr>
          <w:ilvl w:val="0"/>
          <w:numId w:val="2"/>
        </w:numPr>
        <w:spacing w:before="60" w:after="60"/>
      </w:pPr>
      <w:r>
        <w:rPr>
          <w:rFonts w:ascii="Arial" w:cs="Arial" w:eastAsia="Arial" w:hAnsi="Arial"/>
          <w:color w:val="1A1A2E"/>
          <w:sz w:val="22"/>
          <w:szCs w:val="22"/>
        </w:rPr>
        <w:t xml:space="preserve">King's Indian Defense (d4 Nf6 c4 g6 Nc3 Bg7) — Black, Intermediate</w:t>
      </w:r>
    </w:p>
    <w:p>
      <w:pPr>
        <w:pStyle w:val="ListParagraph"/>
        <w:numPr>
          <w:ilvl w:val="0"/>
          <w:numId w:val="2"/>
        </w:numPr>
        <w:spacing w:before="60" w:after="60"/>
      </w:pPr>
      <w:r>
        <w:rPr>
          <w:rFonts w:ascii="Arial" w:cs="Arial" w:eastAsia="Arial" w:hAnsi="Arial"/>
          <w:color w:val="1A1A2E"/>
          <w:sz w:val="22"/>
          <w:szCs w:val="22"/>
        </w:rPr>
        <w:t xml:space="preserve">Sicilian Defense — Najdorf (e4 c5 Nf3 d6 d4 cxd4 Nxd4 Nf6 Nc3 a6) — Black, Intermediate</w:t>
      </w:r>
    </w:p>
    <w:p>
      <w:pPr>
        <w:pStyle w:val="ListParagraph"/>
        <w:numPr>
          <w:ilvl w:val="0"/>
          <w:numId w:val="2"/>
        </w:numPr>
        <w:spacing w:before="60" w:after="60"/>
      </w:pPr>
      <w:r>
        <w:rPr>
          <w:rFonts w:ascii="Arial" w:cs="Arial" w:eastAsia="Arial" w:hAnsi="Arial"/>
          <w:color w:val="1A1A2E"/>
          <w:sz w:val="22"/>
          <w:szCs w:val="22"/>
        </w:rPr>
        <w:t xml:space="preserve">Caro-Kann Defense (e4 c6) — Black, Beginner</w:t>
      </w:r>
    </w:p>
    <w:p>
      <w:pPr>
        <w:pStyle w:val="ListParagraph"/>
        <w:numPr>
          <w:ilvl w:val="0"/>
          <w:numId w:val="2"/>
        </w:numPr>
        <w:spacing w:before="60" w:after="60"/>
      </w:pPr>
      <w:r>
        <w:rPr>
          <w:rFonts w:ascii="Arial" w:cs="Arial" w:eastAsia="Arial" w:hAnsi="Arial"/>
          <w:color w:val="1A1A2E"/>
          <w:sz w:val="22"/>
          <w:szCs w:val="22"/>
        </w:rPr>
        <w:t xml:space="preserve">French Defense (e4 e6) — Black, Beginner</w:t>
      </w:r>
    </w:p>
    <w:p>
      <w:pPr>
        <w:pStyle w:val="ListParagraph"/>
        <w:numPr>
          <w:ilvl w:val="0"/>
          <w:numId w:val="2"/>
        </w:numPr>
        <w:spacing w:before="60" w:after="60"/>
      </w:pPr>
      <w:r>
        <w:rPr>
          <w:rFonts w:ascii="Arial" w:cs="Arial" w:eastAsia="Arial" w:hAnsi="Arial"/>
          <w:color w:val="1A1A2E"/>
          <w:sz w:val="22"/>
          <w:szCs w:val="22"/>
        </w:rPr>
        <w:t xml:space="preserve">Pirc Defense (e4 d6 d4 Nf6 Nc3 g6) — Black, Intermediate</w:t>
      </w:r>
    </w:p>
    <w:p>
      <w:pPr>
        <w:pStyle w:val="ListParagraph"/>
        <w:numPr>
          <w:ilvl w:val="0"/>
          <w:numId w:val="2"/>
        </w:numPr>
        <w:spacing w:before="60" w:after="60"/>
      </w:pPr>
      <w:r>
        <w:rPr>
          <w:rFonts w:ascii="Arial" w:cs="Arial" w:eastAsia="Arial" w:hAnsi="Arial"/>
          <w:color w:val="1A1A2E"/>
          <w:sz w:val="22"/>
          <w:szCs w:val="22"/>
        </w:rPr>
        <w:t xml:space="preserve">Scandinavian Defense (e4 d5) — Black, Beginner</w:t>
      </w:r>
    </w:p>
    <w:p>
      <w:pPr>
        <w:spacing w:before="12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3.2 The Board</w:t>
      </w:r>
    </w:p>
    <w:p>
      <w:pPr>
        <w:spacing w:before="80" w:after="80"/>
      </w:pPr>
      <w:r>
        <w:rPr>
          <w:rFonts w:ascii="Arial" w:cs="Arial" w:eastAsia="Arial" w:hAnsi="Arial"/>
          <w:color w:val="1A1A2E"/>
          <w:sz w:val="22"/>
          <w:szCs w:val="22"/>
        </w:rPr>
        <w:t xml:space="preserve">A standard chess board occupies the center-right of the screen. The player plays their designated color; the engine plays the opposite color. Legal moves are shown via standard highlighting (click piece to see available squares). The board orientation flips based on which color the player chose.</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Move input via click-click or drag-and-drop</w:t>
      </w:r>
    </w:p>
    <w:p>
      <w:pPr>
        <w:pStyle w:val="ListParagraph"/>
        <w:numPr>
          <w:ilvl w:val="0"/>
          <w:numId w:val="2"/>
        </w:numPr>
        <w:spacing w:before="60" w:after="60"/>
      </w:pPr>
      <w:r>
        <w:rPr>
          <w:rFonts w:ascii="Arial" w:cs="Arial" w:eastAsia="Arial" w:hAnsi="Arial"/>
          <w:color w:val="1A1A2E"/>
          <w:sz w:val="22"/>
          <w:szCs w:val="22"/>
        </w:rPr>
        <w:t xml:space="preserve">Last move highlighted on the board</w:t>
      </w:r>
    </w:p>
    <w:p>
      <w:pPr>
        <w:pStyle w:val="ListParagraph"/>
        <w:numPr>
          <w:ilvl w:val="0"/>
          <w:numId w:val="2"/>
        </w:numPr>
        <w:spacing w:before="60" w:after="60"/>
      </w:pPr>
      <w:r>
        <w:rPr>
          <w:rFonts w:ascii="Arial" w:cs="Arial" w:eastAsia="Arial" w:hAnsi="Arial"/>
          <w:color w:val="1A1A2E"/>
          <w:sz w:val="22"/>
          <w:szCs w:val="22"/>
        </w:rPr>
        <w:t xml:space="preserve">Board is locked during engine thinking to prevent input errors</w:t>
      </w:r>
    </w:p>
    <w:p>
      <w:pPr>
        <w:pStyle w:val="ListParagraph"/>
        <w:numPr>
          <w:ilvl w:val="0"/>
          <w:numId w:val="2"/>
        </w:numPr>
        <w:spacing w:before="60" w:after="60"/>
      </w:pPr>
      <w:r>
        <w:rPr>
          <w:rFonts w:ascii="Arial" w:cs="Arial" w:eastAsia="Arial" w:hAnsi="Arial"/>
          <w:color w:val="1A1A2E"/>
          <w:sz w:val="22"/>
          <w:szCs w:val="22"/>
        </w:rPr>
        <w:t xml:space="preserve">Incorrect moves (outside opening theory) trigger a gentle indicator — not a block, but a coach note in the left panel</w:t>
      </w:r>
    </w:p>
    <w:p>
      <w:pPr>
        <w:spacing w:before="12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3.3 Engine Behavior</w:t>
      </w:r>
    </w:p>
    <w:p>
      <w:pPr>
        <w:spacing w:before="80" w:after="80"/>
      </w:pPr>
      <w:r>
        <w:rPr>
          <w:rFonts w:ascii="Arial" w:cs="Arial" w:eastAsia="Arial" w:hAnsi="Arial"/>
          <w:color w:val="1A1A2E"/>
          <w:sz w:val="22"/>
          <w:szCs w:val="22"/>
        </w:rPr>
        <w:t xml:space="preserve">During the opening phase (the theory window), the engine responds with moves drawn from the opening's variation tree rather than always playing the objectively best move. This creates a realistic training partner that tests whether the player knows how to handle the common responses they will actually face over the board. Responses are weighted by frequency in grandmaster practice — the most common lines appear most often, rare sidelines occasionally.</w:t>
      </w:r>
    </w:p>
    <w:p>
      <w:pPr>
        <w:spacing w:before="80" w:after="0"/>
      </w:pPr>
      <w:r>
        <w:t xml:space="preserve"/>
      </w:r>
    </w:p>
    <w:p>
      <w:pPr>
        <w:spacing w:before="80" w:after="80"/>
      </w:pPr>
      <w:r>
        <w:rPr>
          <w:rFonts w:ascii="Arial" w:cs="Arial" w:eastAsia="Arial" w:hAnsi="Arial"/>
          <w:color w:val="1A1A2E"/>
          <w:sz w:val="22"/>
          <w:szCs w:val="22"/>
        </w:rPr>
        <w:t xml:space="preserve">Once both sides have exited the opening (defined as: the position is no longer in the theory tree), the engine switches to standard Stockfish analysis mode at a configurable ELO handicap. The default ELO for v1 is 1200, selectable by the player from 800–2000 in increments of 200.</w:t>
      </w:r>
    </w:p>
    <w:p>
      <w:pPr>
        <w:spacing w:before="12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3.4 Left Panel — The Coach</w:t>
      </w:r>
    </w:p>
    <w:p>
      <w:pPr>
        <w:spacing w:before="80" w:after="80"/>
      </w:pPr>
      <w:r>
        <w:rPr>
          <w:rFonts w:ascii="Arial" w:cs="Arial" w:eastAsia="Arial" w:hAnsi="Arial"/>
          <w:color w:val="1A1A2E"/>
          <w:sz w:val="22"/>
          <w:szCs w:val="22"/>
        </w:rPr>
        <w:t xml:space="preserve">The left panel is the heart of the product. It has three zones, stacked vertically:</w:t>
      </w:r>
    </w:p>
    <w:p>
      <w:pPr>
        <w:spacing w:before="80" w:after="0"/>
      </w:pPr>
      <w:r>
        <w:t xml:space="preserve"/>
      </w:r>
    </w:p>
    <w:p>
      <w:pPr>
        <w:pStyle w:val="Heading3"/>
        <w:spacing w:before="200" w:after="80"/>
      </w:pPr>
      <w:r>
        <w:rPr>
          <w:rFonts w:ascii="Arial" w:cs="Arial" w:eastAsia="Arial" w:hAnsi="Arial"/>
          <w:b/>
          <w:bCs/>
          <w:color w:val="1E3A5F"/>
          <w:sz w:val="24"/>
          <w:szCs w:val="24"/>
        </w:rPr>
        <w:t xml:space="preserve">Zone 1 — Move List</w:t>
      </w:r>
    </w:p>
    <w:p>
      <w:pPr>
        <w:spacing w:before="80" w:after="80"/>
      </w:pPr>
      <w:r>
        <w:rPr>
          <w:rFonts w:ascii="Arial" w:cs="Arial" w:eastAsia="Arial" w:hAnsi="Arial"/>
          <w:color w:val="1A1A2E"/>
          <w:sz w:val="22"/>
          <w:szCs w:val="22"/>
        </w:rPr>
        <w:t xml:space="preserve">A scrollable, flat move list in standard algebraic notation showing all moves played so far. The current move is highlighted. Clicking any prior move takes the board back to that position (read-only review mode). The move list also shows if a move was in-theory (white background) or a deviation (soft amber background).</w:t>
      </w:r>
    </w:p>
    <w:p>
      <w:pPr>
        <w:spacing w:before="80" w:after="0"/>
      </w:pPr>
      <w:r>
        <w:t xml:space="preserve"/>
      </w:r>
    </w:p>
    <w:p>
      <w:pPr>
        <w:pStyle w:val="Heading3"/>
        <w:spacing w:before="200" w:after="80"/>
      </w:pPr>
      <w:r>
        <w:rPr>
          <w:rFonts w:ascii="Arial" w:cs="Arial" w:eastAsia="Arial" w:hAnsi="Arial"/>
          <w:b/>
          <w:bCs/>
          <w:color w:val="1E3A5F"/>
          <w:sz w:val="24"/>
          <w:szCs w:val="24"/>
        </w:rPr>
        <w:t xml:space="preserve">Zone 2 — Position Metrics Dashboard</w:t>
      </w:r>
    </w:p>
    <w:p>
      <w:pPr>
        <w:spacing w:before="80" w:after="80"/>
      </w:pPr>
      <w:r>
        <w:rPr>
          <w:rFonts w:ascii="Arial" w:cs="Arial" w:eastAsia="Arial" w:hAnsi="Arial"/>
          <w:color w:val="1A1A2E"/>
          <w:sz w:val="22"/>
          <w:szCs w:val="22"/>
        </w:rPr>
        <w:t xml:space="preserve">After each half-move, four metrics update with animated transitions: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It's Computed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Piece Activity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 legal moves available for all your pieces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Count of pseudo-legal moves for all friendly pieces from this FEN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Center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Contested vs. dominated central squares (d4, d5, e4, e5)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Attack count delta on the four central squares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Pawn 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Qualitative label for your pawn formation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Rule-based classifier: doubled, isolated, passed, chain,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King Safety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Relative king exposure score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Count of open files near king + attacker proximity score</w:t>
            </w:r>
          </w:p>
        </w:tc>
      </w:tr>
    </w:tbl>
    <w:p>
      <w:pPr>
        <w:spacing w:before="120" w:after="0"/>
      </w:pPr>
      <w:r>
        <w:t xml:space="preserve"/>
      </w:r>
    </w:p>
    <w:p>
      <w:pPr>
        <w:pStyle w:val="Heading3"/>
        <w:spacing w:before="200" w:after="80"/>
      </w:pPr>
      <w:r>
        <w:rPr>
          <w:rFonts w:ascii="Arial" w:cs="Arial" w:eastAsia="Arial" w:hAnsi="Arial"/>
          <w:b/>
          <w:bCs/>
          <w:color w:val="1E3A5F"/>
          <w:sz w:val="24"/>
          <w:szCs w:val="24"/>
        </w:rPr>
        <w:t xml:space="preserve">Zone 3 — Commentary</w:t>
      </w:r>
    </w:p>
    <w:p>
      <w:pPr>
        <w:spacing w:before="80" w:after="80"/>
      </w:pPr>
      <w:r>
        <w:rPr>
          <w:rFonts w:ascii="Arial" w:cs="Arial" w:eastAsia="Arial" w:hAnsi="Arial"/>
          <w:color w:val="1A1A2E"/>
          <w:sz w:val="22"/>
          <w:szCs w:val="22"/>
        </w:rPr>
        <w:t xml:space="preserve">A two-to-three sentence explanation of the move just played, written in plain language. For mainline opening moves, this commentary is pre-generated and curated for quality and accuracy. For deviation moves or post-opening play, commentary is generated on-demand via an LLM API call. Commentary explains the positional idea, references the metric changes, and previews the main threat or plan.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E3A5F"/>
                <w:sz w:val="22"/>
                <w:szCs w:val="22"/>
              </w:rPr>
              <w:t xml:space="preserve">Example Commentary</w:t>
            </w:r>
          </w:p>
          <w:p>
            <w:pPr>
              <w:spacing w:before="0" w:after="0"/>
            </w:pPr>
            <w:r>
              <w:rPr>
                <w:rFonts w:ascii="Arial" w:cs="Arial" w:eastAsia="Arial" w:hAnsi="Arial"/>
                <w:color w:val="1A1A2E"/>
                <w:sz w:val="22"/>
                <w:szCs w:val="22"/>
              </w:rPr>
              <w:t xml:space="preserve">Nf3 increases your piece activity from 18 to 24 available moves and contests the e5 square. The knight develops with tempo, preparing to castle kingside and preventing Black from establishing an unchallenged pawn center. White's king safety score improves as the path to g1 is now clear.</w:t>
            </w:r>
          </w:p>
        </w:tc>
      </w:tr>
    </w:tbl>
    <w:p>
      <w:pPr>
        <w:spacing w:before="12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3.5 Opening Phase Completion</w:t>
      </w:r>
    </w:p>
    <w:p>
      <w:pPr>
        <w:spacing w:before="80" w:after="80"/>
      </w:pPr>
      <w:r>
        <w:rPr>
          <w:rFonts w:ascii="Arial" w:cs="Arial" w:eastAsia="Arial" w:hAnsi="Arial"/>
          <w:color w:val="1A1A2E"/>
          <w:sz w:val="22"/>
          <w:szCs w:val="22"/>
        </w:rPr>
        <w:t xml:space="preserve">When the position exits the opening tree, the left panel displays a brief summary card: the opening name, the variation reached (e.g. Ruy Lopez — Berlin Defense), the final position score in centipawns, and a one-paragraph evaluation of how well the player navigated the opening. The player then continues playing against Stockfish at their selected ELO to finish the game.</w:t>
      </w:r>
    </w:p>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4. UX &amp; Design Principles</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Clean, dark-themed interface that keeps focus on the board and panel — no visual clutter</w:t>
      </w:r>
    </w:p>
    <w:p>
      <w:pPr>
        <w:pStyle w:val="ListParagraph"/>
        <w:numPr>
          <w:ilvl w:val="0"/>
          <w:numId w:val="2"/>
        </w:numPr>
        <w:spacing w:before="60" w:after="60"/>
      </w:pPr>
      <w:r>
        <w:rPr>
          <w:rFonts w:ascii="Arial" w:cs="Arial" w:eastAsia="Arial" w:hAnsi="Arial"/>
          <w:color w:val="1A1A2E"/>
          <w:sz w:val="22"/>
          <w:szCs w:val="22"/>
        </w:rPr>
        <w:t xml:space="preserve">The left panel never blocks or distracts; it informs and rewards curiosity</w:t>
      </w:r>
    </w:p>
    <w:p>
      <w:pPr>
        <w:pStyle w:val="ListParagraph"/>
        <w:numPr>
          <w:ilvl w:val="0"/>
          <w:numId w:val="2"/>
        </w:numPr>
        <w:spacing w:before="60" w:after="60"/>
      </w:pPr>
      <w:r>
        <w:rPr>
          <w:rFonts w:ascii="Arial" w:cs="Arial" w:eastAsia="Arial" w:hAnsi="Arial"/>
          <w:color w:val="1A1A2E"/>
          <w:sz w:val="22"/>
          <w:szCs w:val="22"/>
        </w:rPr>
        <w:t xml:space="preserve">Commentary uses chess vocabulary but defines terms inline for beginners</w:t>
      </w:r>
    </w:p>
    <w:p>
      <w:pPr>
        <w:pStyle w:val="ListParagraph"/>
        <w:numPr>
          <w:ilvl w:val="0"/>
          <w:numId w:val="2"/>
        </w:numPr>
        <w:spacing w:before="60" w:after="60"/>
      </w:pPr>
      <w:r>
        <w:rPr>
          <w:rFonts w:ascii="Arial" w:cs="Arial" w:eastAsia="Arial" w:hAnsi="Arial"/>
          <w:color w:val="1A1A2E"/>
          <w:sz w:val="22"/>
          <w:szCs w:val="22"/>
        </w:rPr>
        <w:t xml:space="preserve">Metric changes animate on each move — green for improvement, red for deterioration — to build intuition</w:t>
      </w:r>
    </w:p>
    <w:p>
      <w:pPr>
        <w:pStyle w:val="ListParagraph"/>
        <w:numPr>
          <w:ilvl w:val="0"/>
          <w:numId w:val="2"/>
        </w:numPr>
        <w:spacing w:before="60" w:after="60"/>
      </w:pPr>
      <w:r>
        <w:rPr>
          <w:rFonts w:ascii="Arial" w:cs="Arial" w:eastAsia="Arial" w:hAnsi="Arial"/>
          <w:color w:val="1A1A2E"/>
          <w:sz w:val="22"/>
          <w:szCs w:val="22"/>
        </w:rPr>
        <w:t xml:space="preserve">No failure state during the opening: deviations are coaching moments, not punishments</w:t>
      </w:r>
    </w:p>
    <w:p>
      <w:pPr>
        <w:pStyle w:val="ListParagraph"/>
        <w:numPr>
          <w:ilvl w:val="0"/>
          <w:numId w:val="2"/>
        </w:numPr>
        <w:spacing w:before="60" w:after="60"/>
      </w:pPr>
      <w:r>
        <w:rPr>
          <w:rFonts w:ascii="Arial" w:cs="Arial" w:eastAsia="Arial" w:hAnsi="Arial"/>
          <w:color w:val="1A1A2E"/>
          <w:sz w:val="22"/>
          <w:szCs w:val="22"/>
        </w:rPr>
        <w:t xml:space="preserve">Fast — the board responds instantly; engine thinking is hidden behind a brief subtle indicator</w:t>
      </w:r>
    </w:p>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5. Success Metrics (v1 Launch)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Opening completion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&gt;60% of sessions that start an opening play through all theory moves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Post-opening continuation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&gt;40% of players continue the game after the opening ends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 visit rate (7-day)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&gt;25% of users return within 7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Commentary engagement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&gt;70% of users expand or read the full commentary on at least 3 moves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Opening variety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Average user tries at least 2 different openings in first week</w:t>
            </w:r>
          </w:p>
        </w:tc>
      </w:tr>
    </w:tbl>
    <w:p>
      <w:pPr>
        <w:spacing w:before="120" w:after="0"/>
      </w:pPr>
      <w:r>
        <w:t xml:space="preserve"/>
      </w:r>
    </w:p>
    <w:p>
      <w:pPr>
        <w:pStyle w:val="Heading1"/>
        <w:pBdr>
          <w:bottom w:val="single" w:color="4A90D9" w:sz="4"/>
        </w:pBdr>
        <w:shd w:fill="1E3A5F" w:val="clear"/>
        <w:spacing w:before="360" w:after="160"/>
        <w:ind w:left="240" w:right="240"/>
      </w:pPr>
      <w:r>
        <w:rPr>
          <w:rFonts w:ascii="Arial" w:cs="Arial" w:eastAsia="Arial" w:hAnsi="Arial"/>
          <w:b/>
          <w:bCs/>
          <w:color w:val="FFFFFF"/>
          <w:sz w:val="36"/>
          <w:szCs w:val="36"/>
        </w:rPr>
        <w:t xml:space="preserve">6. Future Roadmap</w:t>
      </w:r>
    </w:p>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v2 — Drilling &amp; Spaced Repetition</w:t>
      </w:r>
    </w:p>
    <w:p>
      <w:pPr>
        <w:pStyle w:val="ListParagraph"/>
        <w:numPr>
          <w:ilvl w:val="0"/>
          <w:numId w:val="2"/>
        </w:numPr>
        <w:spacing w:before="60" w:after="60"/>
      </w:pPr>
      <w:r>
        <w:rPr>
          <w:rFonts w:ascii="Arial" w:cs="Arial" w:eastAsia="Arial" w:hAnsi="Arial"/>
          <w:color w:val="1A1A2E"/>
          <w:sz w:val="22"/>
          <w:szCs w:val="22"/>
        </w:rPr>
        <w:t xml:space="preserve">Quiz mode: given a position mid-opening, find the correct move</w:t>
      </w:r>
    </w:p>
    <w:p>
      <w:pPr>
        <w:pStyle w:val="ListParagraph"/>
        <w:numPr>
          <w:ilvl w:val="0"/>
          <w:numId w:val="2"/>
        </w:numPr>
        <w:spacing w:before="60" w:after="60"/>
      </w:pPr>
      <w:r>
        <w:rPr>
          <w:rFonts w:ascii="Arial" w:cs="Arial" w:eastAsia="Arial" w:hAnsi="Arial"/>
          <w:color w:val="1A1A2E"/>
          <w:sz w:val="22"/>
          <w:szCs w:val="22"/>
        </w:rPr>
        <w:t xml:space="preserve">Spaced repetition system tracks positions the user struggles with</w:t>
      </w:r>
    </w:p>
    <w:p>
      <w:pPr>
        <w:pStyle w:val="ListParagraph"/>
        <w:numPr>
          <w:ilvl w:val="0"/>
          <w:numId w:val="2"/>
        </w:numPr>
        <w:spacing w:before="60" w:after="60"/>
      </w:pPr>
      <w:r>
        <w:rPr>
          <w:rFonts w:ascii="Arial" w:cs="Arial" w:eastAsia="Arial" w:hAnsi="Arial"/>
          <w:color w:val="1A1A2E"/>
          <w:sz w:val="22"/>
          <w:szCs w:val="22"/>
        </w:rPr>
        <w:t xml:space="preserve">Branching move tree in the left panel replaces flat list</w:t>
      </w:r>
    </w:p>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v3 — Middlegame Trainer</w:t>
      </w:r>
    </w:p>
    <w:p>
      <w:pPr>
        <w:pStyle w:val="ListParagraph"/>
        <w:numPr>
          <w:ilvl w:val="0"/>
          <w:numId w:val="2"/>
        </w:numPr>
        <w:spacing w:before="60" w:after="60"/>
      </w:pPr>
      <w:r>
        <w:rPr>
          <w:rFonts w:ascii="Arial" w:cs="Arial" w:eastAsia="Arial" w:hAnsi="Arial"/>
          <w:color w:val="1A1A2E"/>
          <w:sz w:val="22"/>
          <w:szCs w:val="22"/>
        </w:rPr>
        <w:t xml:space="preserve">Typical middlegame plans for each opening (piece placement, pawn breaks, attack patterns)</w:t>
      </w:r>
    </w:p>
    <w:p>
      <w:pPr>
        <w:pStyle w:val="ListParagraph"/>
        <w:numPr>
          <w:ilvl w:val="0"/>
          <w:numId w:val="2"/>
        </w:numPr>
        <w:spacing w:before="60" w:after="60"/>
      </w:pPr>
      <w:r>
        <w:rPr>
          <w:rFonts w:ascii="Arial" w:cs="Arial" w:eastAsia="Arial" w:hAnsi="Arial"/>
          <w:color w:val="1A1A2E"/>
          <w:sz w:val="22"/>
          <w:szCs w:val="22"/>
        </w:rPr>
        <w:t xml:space="preserve">Stockfish-assisted move evaluation with plan explanation</w:t>
      </w:r>
    </w:p>
    <w:p>
      <w:pPr>
        <w:spacing w:before="80" w:after="0"/>
      </w:pPr>
      <w:r>
        <w:t xml:space="preserve"/>
      </w:r>
    </w:p>
    <w:p>
      <w:pPr>
        <w:pStyle w:val="Heading2"/>
        <w:pBdr>
          <w:bottom w:val="single" w:color="4A90D9" w:sz="2" w:space="2"/>
        </w:pBdr>
        <w:spacing w:before="300" w:after="120"/>
      </w:pPr>
      <w:r>
        <w:rPr>
          <w:rFonts w:ascii="Arial" w:cs="Arial" w:eastAsia="Arial" w:hAnsi="Arial"/>
          <w:b/>
          <w:bCs/>
          <w:color w:val="1E3A5F"/>
          <w:sz w:val="28"/>
          <w:szCs w:val="28"/>
        </w:rPr>
        <w:t xml:space="preserve">v4 — Full Game &amp; Accounts</w:t>
      </w:r>
    </w:p>
    <w:p>
      <w:pPr>
        <w:pStyle w:val="ListParagraph"/>
        <w:numPr>
          <w:ilvl w:val="0"/>
          <w:numId w:val="2"/>
        </w:numPr>
        <w:spacing w:before="60" w:after="60"/>
      </w:pPr>
      <w:r>
        <w:rPr>
          <w:rFonts w:ascii="Arial" w:cs="Arial" w:eastAsia="Arial" w:hAnsi="Arial"/>
          <w:color w:val="1A1A2E"/>
          <w:sz w:val="22"/>
          <w:szCs w:val="22"/>
        </w:rPr>
        <w:t xml:space="preserve">User accounts, opening win/draw/loss statistics by ECO code</w:t>
      </w:r>
    </w:p>
    <w:p>
      <w:pPr>
        <w:pStyle w:val="ListParagraph"/>
        <w:numPr>
          <w:ilvl w:val="0"/>
          <w:numId w:val="2"/>
        </w:numPr>
        <w:spacing w:before="60" w:after="60"/>
      </w:pPr>
      <w:r>
        <w:rPr>
          <w:rFonts w:ascii="Arial" w:cs="Arial" w:eastAsia="Arial" w:hAnsi="Arial"/>
          <w:color w:val="1A1A2E"/>
          <w:sz w:val="22"/>
          <w:szCs w:val="22"/>
        </w:rPr>
        <w:t xml:space="preserve">Game review mode for imported PGN files</w:t>
      </w:r>
    </w:p>
    <w:p>
      <w:pPr>
        <w:pStyle w:val="ListParagraph"/>
        <w:numPr>
          <w:ilvl w:val="0"/>
          <w:numId w:val="2"/>
        </w:numPr>
        <w:spacing w:before="60" w:after="60"/>
      </w:pPr>
      <w:r>
        <w:rPr>
          <w:rFonts w:ascii="Arial" w:cs="Arial" w:eastAsia="Arial" w:hAnsi="Arial"/>
          <w:color w:val="1A1A2E"/>
          <w:sz w:val="22"/>
          <w:szCs w:val="22"/>
        </w:rPr>
        <w:t xml:space="preserve">Endgame training module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2026-02-18T00:40:09.885Z</dcterms:created>
  <dcterms:modified xsi:type="dcterms:W3CDTF">2026-02-18T00:40:09.886Z</dcterms:modified>
</cp:coreProperties>
</file>

<file path=docProps/custom.xml><?xml version="1.0" encoding="utf-8"?>
<Properties xmlns="http://schemas.openxmlformats.org/officeDocument/2006/custom-properties" xmlns:vt="http://schemas.openxmlformats.org/officeDocument/2006/docPropsVTypes"/>
</file>