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200" w:after="100"/>
        <w:jc w:val="center"/>
      </w:pPr>
      <w:r>
        <w:rPr>
          <w:rFonts w:ascii="Arial" w:cs="Arial" w:eastAsia="Arial" w:hAnsi="Arial"/>
          <w:b/>
          <w:bCs/>
          <w:color w:val="888888"/>
          <w:sz w:val="28"/>
          <w:szCs w:val="28"/>
        </w:rPr>
        <w:t xml:space="preserve">PRODUCT REQUIREMENTS DOCUMENT</w:t>
      </w:r>
    </w:p>
    <w:p>
      <w:pPr>
        <w:spacing w:before="100" w:after="100"/>
        <w:jc w:val="center"/>
      </w:pPr>
      <w:r>
        <w:rPr>
          <w:rFonts w:ascii="Arial" w:cs="Arial" w:eastAsia="Arial" w:hAnsi="Arial"/>
          <w:b/>
          <w:bCs/>
          <w:color w:val="1A1A2E"/>
          <w:sz w:val="52"/>
          <w:szCs w:val="52"/>
        </w:rPr>
        <w:t xml:space="preserve">Chess Opening Knowledge Base</w:t>
      </w:r>
    </w:p>
    <w:p>
      <w:pPr>
        <w:spacing w:before="100" w:after="400"/>
        <w:jc w:val="center"/>
      </w:pPr>
      <w:r>
        <w:rPr>
          <w:rFonts w:ascii="Arial" w:cs="Arial" w:eastAsia="Arial" w:hAnsi="Arial"/>
          <w:color w:val="2E86C1"/>
          <w:sz w:val="26"/>
          <w:szCs w:val="26"/>
        </w:rPr>
        <w:t xml:space="preserve">Comprehensive Move Tree Database with Engine Annotation</w:t>
      </w:r>
    </w:p>
    <w:p>
      <w:pPr>
        <w:pBdr>
          <w:bottom w:val="single" w:color="1B4F72" w:sz="8" w:space="1"/>
        </w:pBdr>
        <w:spacing w:before="0" w:after="400"/>
        <w:jc w:val="center"/>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63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Document Version</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Date</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February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Lead</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Reviewers</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Chess Domain Expert, Lead Engineer</w:t>
            </w:r>
          </w:p>
        </w:tc>
      </w:tr>
    </w:tbl>
    <w:p>
      <w:pPr>
        <w:spacing w:before="80" w:after="80"/>
      </w:pPr>
      <w:r>
        <w:t xml:space="preserve"/>
      </w:r>
    </w:p>
    <w:p>
      <w:pPr>
        <w:spacing w:before="80" w:after="80"/>
      </w:pPr>
      <w:r>
        <w:t xml:space="preserve"/>
      </w:r>
    </w:p>
    <w:p>
      <w:r>
        <w:br w:type="page"/>
      </w:r>
    </w:p>
    <w:p>
      <w:pPr>
        <w:pStyle w:val="Heading1"/>
        <w:spacing w:before="400" w:after="200"/>
      </w:pPr>
      <w:r>
        <w:rPr>
          <w:rFonts w:ascii="Arial" w:cs="Arial" w:eastAsia="Arial" w:hAnsi="Arial"/>
          <w:b/>
          <w:bCs/>
          <w:sz w:val="32"/>
          <w:szCs w:val="32"/>
        </w:rPr>
        <w:t xml:space="preserve">1. Product Overview</w:t>
      </w:r>
    </w:p>
    <w:p>
      <w:pPr>
        <w:spacing w:before="80" w:after="80"/>
      </w:pPr>
      <w:r>
        <w:rPr>
          <w:rFonts w:ascii="Arial" w:cs="Arial" w:eastAsia="Arial" w:hAnsi="Arial"/>
          <w:sz w:val="22"/>
          <w:szCs w:val="22"/>
        </w:rPr>
        <w:t xml:space="preserve">This document defines the requirements for building a comprehensive Chess Opening Knowledge Base — a structured, queryable database that captures every major opening, defense, and pawn structure with complete move trees, named variation branches, transition points, and Stockfish engine annotations.</w:t>
      </w:r>
    </w:p>
    <w:p>
      <w:pPr>
        <w:spacing w:before="80" w:after="80"/>
      </w:pPr>
      <w:r>
        <w:t xml:space="preserve"/>
      </w:r>
    </w:p>
    <w:p>
      <w:pPr>
        <w:spacing w:before="80" w:after="80"/>
      </w:pPr>
      <w:r>
        <w:rPr>
          <w:rFonts w:ascii="Arial" w:cs="Arial" w:eastAsia="Arial" w:hAnsi="Arial"/>
          <w:sz w:val="22"/>
          <w:szCs w:val="22"/>
        </w:rPr>
        <w:t xml:space="preserve">The goal is to give a player or application a single reference that answers three questions at any position: what is this opening called, where can it go from here, and when does it dissolve into a known middlegame structure or secondary opening.</w:t>
      </w:r>
    </w:p>
    <w:p>
      <w:pPr>
        <w:pBdr>
          <w:bottom w:val="single" w:color="1B4F72" w:sz="4" w:space="1"/>
        </w:pBdr>
        <w:spacing w:before="160" w:after="160"/>
      </w:pPr>
      <w:r>
        <w:t xml:space="preserve"/>
      </w:r>
    </w:p>
    <w:p>
      <w:pPr>
        <w:pStyle w:val="Heading1"/>
        <w:spacing w:before="400" w:after="200"/>
      </w:pPr>
      <w:r>
        <w:rPr>
          <w:rFonts w:ascii="Arial" w:cs="Arial" w:eastAsia="Arial" w:hAnsi="Arial"/>
          <w:b/>
          <w:bCs/>
          <w:sz w:val="32"/>
          <w:szCs w:val="32"/>
        </w:rPr>
        <w:t xml:space="preserve">2. Goals &amp; Success Criteria</w:t>
      </w:r>
    </w:p>
    <w:p>
      <w:pPr>
        <w:pStyle w:val="Heading2"/>
        <w:spacing w:before="300" w:after="160"/>
      </w:pPr>
      <w:r>
        <w:rPr>
          <w:rFonts w:ascii="Arial" w:cs="Arial" w:eastAsia="Arial" w:hAnsi="Arial"/>
          <w:b/>
          <w:bCs/>
          <w:color w:val="1B4F72"/>
          <w:sz w:val="26"/>
          <w:szCs w:val="26"/>
        </w:rPr>
        <w:t xml:space="preserve">2.1 Primary Goals</w:t>
      </w:r>
    </w:p>
    <w:p>
      <w:pPr>
        <w:pStyle w:val="ListParagraph"/>
        <w:numPr>
          <w:ilvl w:val="0"/>
          <w:numId w:val="2"/>
        </w:numPr>
        <w:spacing w:before="60" w:after="60"/>
      </w:pPr>
      <w:r>
        <w:rPr>
          <w:rFonts w:ascii="Arial" w:cs="Arial" w:eastAsia="Arial" w:hAnsi="Arial"/>
          <w:sz w:val="22"/>
          <w:szCs w:val="22"/>
        </w:rPr>
        <w:t xml:space="preserve">Cover all openings, defenses, and pawn structures listed in the ECO index (A00–E99).</w:t>
      </w:r>
    </w:p>
    <w:p>
      <w:pPr>
        <w:pStyle w:val="ListParagraph"/>
        <w:numPr>
          <w:ilvl w:val="0"/>
          <w:numId w:val="2"/>
        </w:numPr>
        <w:spacing w:before="60" w:after="60"/>
      </w:pPr>
      <w:r>
        <w:rPr>
          <w:rFonts w:ascii="Arial" w:cs="Arial" w:eastAsia="Arial" w:hAnsi="Arial"/>
          <w:sz w:val="22"/>
          <w:szCs w:val="22"/>
        </w:rPr>
        <w:t xml:space="preserve">For each entry, capture the full named variation tree from move 1 through the point of structural resolution.</w:t>
      </w:r>
    </w:p>
    <w:p>
      <w:pPr>
        <w:pStyle w:val="ListParagraph"/>
        <w:numPr>
          <w:ilvl w:val="0"/>
          <w:numId w:val="2"/>
        </w:numPr>
        <w:spacing w:before="60" w:after="60"/>
      </w:pPr>
      <w:r>
        <w:rPr>
          <w:rFonts w:ascii="Arial" w:cs="Arial" w:eastAsia="Arial" w:hAnsi="Arial"/>
          <w:sz w:val="22"/>
          <w:szCs w:val="22"/>
        </w:rPr>
        <w:t xml:space="preserve">Annotate every major branching node with Stockfish evaluation scores.</w:t>
      </w:r>
    </w:p>
    <w:p>
      <w:pPr>
        <w:pStyle w:val="ListParagraph"/>
        <w:numPr>
          <w:ilvl w:val="0"/>
          <w:numId w:val="2"/>
        </w:numPr>
        <w:spacing w:before="60" w:after="60"/>
      </w:pPr>
      <w:r>
        <w:rPr>
          <w:rFonts w:ascii="Arial" w:cs="Arial" w:eastAsia="Arial" w:hAnsi="Arial"/>
          <w:sz w:val="22"/>
          <w:szCs w:val="22"/>
        </w:rPr>
        <w:t xml:space="preserve">Tag each terminal node with its resulting middlegame structure, gambit classification, or transposed opening.</w:t>
      </w:r>
    </w:p>
    <w:p>
      <w:pPr>
        <w:pStyle w:val="ListParagraph"/>
        <w:numPr>
          <w:ilvl w:val="0"/>
          <w:numId w:val="2"/>
        </w:numPr>
        <w:spacing w:before="60" w:after="60"/>
      </w:pPr>
      <w:r>
        <w:rPr>
          <w:rFonts w:ascii="Arial" w:cs="Arial" w:eastAsia="Arial" w:hAnsi="Arial"/>
          <w:sz w:val="22"/>
          <w:szCs w:val="22"/>
        </w:rPr>
        <w:t xml:space="preserve">Make the database queryable by ECO code, name, move sequence (FEN/PGN), and resulting structure.</w:t>
      </w:r>
    </w:p>
    <w:p>
      <w:pPr>
        <w:spacing w:before="80" w:after="80"/>
      </w:pPr>
      <w:r>
        <w:t xml:space="preserve"/>
      </w:r>
    </w:p>
    <w:p>
      <w:pPr>
        <w:pStyle w:val="Heading2"/>
        <w:spacing w:before="300" w:after="160"/>
      </w:pPr>
      <w:r>
        <w:rPr>
          <w:rFonts w:ascii="Arial" w:cs="Arial" w:eastAsia="Arial" w:hAnsi="Arial"/>
          <w:b/>
          <w:bCs/>
          <w:color w:val="1B4F72"/>
          <w:sz w:val="26"/>
          <w:szCs w:val="26"/>
        </w:rPr>
        <w:t xml:space="preserve">2.2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53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Target</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ECO codes covered</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100% (A00–E99)</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Named variations per opening (avg)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8</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Stockfish depth at branching nodes</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depth 22</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 trees validated against master-level games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500,000 games sampled</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Query response time (by FEN/PGN)</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&lt; 200ms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 transposition tags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w:t>
            </w:r>
          </w:p>
        </w:tc>
      </w:tr>
    </w:tbl>
    <w:p>
      <w:pPr>
        <w:pBdr>
          <w:bottom w:val="single" w:color="1B4F72" w:sz="4" w:space="1"/>
        </w:pBdr>
        <w:spacing w:before="160" w:after="160"/>
      </w:pPr>
      <w:r>
        <w:t xml:space="preserve"/>
      </w:r>
    </w:p>
    <w:p>
      <w:pPr>
        <w:pStyle w:val="Heading1"/>
        <w:spacing w:before="400" w:after="200"/>
      </w:pPr>
      <w:r>
        <w:rPr>
          <w:rFonts w:ascii="Arial" w:cs="Arial" w:eastAsia="Arial" w:hAnsi="Arial"/>
          <w:b/>
          <w:bCs/>
          <w:sz w:val="32"/>
          <w:szCs w:val="32"/>
        </w:rPr>
        <w:t xml:space="preserve">3. Scope</w:t>
      </w:r>
    </w:p>
    <w:p>
      <w:pPr>
        <w:pStyle w:val="Heading2"/>
        <w:spacing w:before="300" w:after="160"/>
      </w:pPr>
      <w:r>
        <w:rPr>
          <w:rFonts w:ascii="Arial" w:cs="Arial" w:eastAsia="Arial" w:hAnsi="Arial"/>
          <w:b/>
          <w:bCs/>
          <w:color w:val="1B4F72"/>
          <w:sz w:val="26"/>
          <w:szCs w:val="26"/>
        </w:rPr>
        <w:t xml:space="preserve">3.1 In Scope</w:t>
      </w:r>
    </w:p>
    <w:p>
      <w:pPr>
        <w:pStyle w:val="ListParagraph"/>
        <w:numPr>
          <w:ilvl w:val="0"/>
          <w:numId w:val="2"/>
        </w:numPr>
        <w:spacing w:before="60" w:after="60"/>
      </w:pPr>
      <w:r>
        <w:rPr>
          <w:rFonts w:ascii="Arial" w:cs="Arial" w:eastAsia="Arial" w:hAnsi="Arial"/>
          <w:sz w:val="22"/>
          <w:szCs w:val="22"/>
        </w:rPr>
        <w:t xml:space="preserve">All ECO-classified openings: openings (A–E), defenses, gambits, and named sub-variations.</w:t>
      </w:r>
    </w:p>
    <w:p>
      <w:pPr>
        <w:pStyle w:val="ListParagraph"/>
        <w:numPr>
          <w:ilvl w:val="0"/>
          <w:numId w:val="2"/>
        </w:numPr>
        <w:spacing w:before="60" w:after="60"/>
      </w:pPr>
      <w:r>
        <w:rPr>
          <w:rFonts w:ascii="Arial" w:cs="Arial" w:eastAsia="Arial" w:hAnsi="Arial"/>
          <w:sz w:val="22"/>
          <w:szCs w:val="22"/>
        </w:rPr>
        <w:t xml:space="preserve">Pawn structures and middlegame systems that arise from openings (e.g., Isolated Queen’s Pawn, Maroczy Bind, Hedgehog).</w:t>
      </w:r>
    </w:p>
    <w:p>
      <w:pPr>
        <w:pStyle w:val="ListParagraph"/>
        <w:numPr>
          <w:ilvl w:val="0"/>
          <w:numId w:val="2"/>
        </w:numPr>
        <w:spacing w:before="60" w:after="60"/>
      </w:pPr>
      <w:r>
        <w:rPr>
          <w:rFonts w:ascii="Arial" w:cs="Arial" w:eastAsia="Arial" w:hAnsi="Arial"/>
          <w:sz w:val="22"/>
          <w:szCs w:val="22"/>
        </w:rPr>
        <w:t xml:space="preserve">Transposition mapping: nodes where one opening legally becomes another.</w:t>
      </w:r>
    </w:p>
    <w:p>
      <w:pPr>
        <w:pStyle w:val="ListParagraph"/>
        <w:numPr>
          <w:ilvl w:val="0"/>
          <w:numId w:val="2"/>
        </w:numPr>
        <w:spacing w:before="60" w:after="60"/>
      </w:pPr>
      <w:r>
        <w:rPr>
          <w:rFonts w:ascii="Arial" w:cs="Arial" w:eastAsia="Arial" w:hAnsi="Arial"/>
          <w:sz w:val="22"/>
          <w:szCs w:val="22"/>
        </w:rPr>
        <w:t xml:space="preserve">Move tree construction from curated PGN databases (Lichess, TWIC).</w:t>
      </w:r>
    </w:p>
    <w:p>
      <w:pPr>
        <w:pStyle w:val="ListParagraph"/>
        <w:numPr>
          <w:ilvl w:val="0"/>
          <w:numId w:val="2"/>
        </w:numPr>
        <w:spacing w:before="60" w:after="60"/>
      </w:pPr>
      <w:r>
        <w:rPr>
          <w:rFonts w:ascii="Arial" w:cs="Arial" w:eastAsia="Arial" w:hAnsi="Arial"/>
          <w:sz w:val="22"/>
          <w:szCs w:val="22"/>
        </w:rPr>
        <w:t xml:space="preserve">Stockfish evaluation annotation at key branching points.</w:t>
      </w:r>
    </w:p>
    <w:p>
      <w:pPr>
        <w:pStyle w:val="ListParagraph"/>
        <w:numPr>
          <w:ilvl w:val="0"/>
          <w:numId w:val="2"/>
        </w:numPr>
        <w:spacing w:before="60" w:after="60"/>
      </w:pPr>
      <w:r>
        <w:rPr>
          <w:rFonts w:ascii="Arial" w:cs="Arial" w:eastAsia="Arial" w:hAnsi="Arial"/>
          <w:sz w:val="22"/>
          <w:szCs w:val="22"/>
        </w:rPr>
        <w:t xml:space="preserve">ECO code taxonomy as the primary classification spine.</w:t>
      </w:r>
    </w:p>
    <w:p>
      <w:pPr>
        <w:spacing w:before="80" w:after="80"/>
      </w:pPr>
      <w:r>
        <w:t xml:space="preserve"/>
      </w:r>
    </w:p>
    <w:p>
      <w:pPr>
        <w:pStyle w:val="Heading2"/>
        <w:spacing w:before="300" w:after="160"/>
      </w:pPr>
      <w:r>
        <w:rPr>
          <w:rFonts w:ascii="Arial" w:cs="Arial" w:eastAsia="Arial" w:hAnsi="Arial"/>
          <w:b/>
          <w:bCs/>
          <w:color w:val="1B4F72"/>
          <w:sz w:val="26"/>
          <w:szCs w:val="26"/>
        </w:rPr>
        <w:t xml:space="preserve">3.2 Out of Scope</w:t>
      </w:r>
    </w:p>
    <w:p>
      <w:pPr>
        <w:pStyle w:val="ListParagraph"/>
        <w:numPr>
          <w:ilvl w:val="0"/>
          <w:numId w:val="2"/>
        </w:numPr>
        <w:spacing w:before="60" w:after="60"/>
      </w:pPr>
      <w:r>
        <w:rPr>
          <w:rFonts w:ascii="Arial" w:cs="Arial" w:eastAsia="Arial" w:hAnsi="Arial"/>
          <w:sz w:val="22"/>
          <w:szCs w:val="22"/>
        </w:rPr>
        <w:t xml:space="preserve">Full game databases (post-opening middlegame and endgame phases).</w:t>
      </w:r>
    </w:p>
    <w:p>
      <w:pPr>
        <w:pStyle w:val="ListParagraph"/>
        <w:numPr>
          <w:ilvl w:val="0"/>
          <w:numId w:val="2"/>
        </w:numPr>
        <w:spacing w:before="60" w:after="60"/>
      </w:pPr>
      <w:r>
        <w:rPr>
          <w:rFonts w:ascii="Arial" w:cs="Arial" w:eastAsia="Arial" w:hAnsi="Arial"/>
          <w:sz w:val="22"/>
          <w:szCs w:val="22"/>
        </w:rPr>
        <w:t xml:space="preserve">Real-time game analysis or move suggestions.</w:t>
      </w:r>
    </w:p>
    <w:p>
      <w:pPr>
        <w:pStyle w:val="ListParagraph"/>
        <w:numPr>
          <w:ilvl w:val="0"/>
          <w:numId w:val="2"/>
        </w:numPr>
        <w:spacing w:before="60" w:after="60"/>
      </w:pPr>
      <w:r>
        <w:rPr>
          <w:rFonts w:ascii="Arial" w:cs="Arial" w:eastAsia="Arial" w:hAnsi="Arial"/>
          <w:sz w:val="22"/>
          <w:szCs w:val="22"/>
        </w:rPr>
        <w:t xml:space="preserve">UI or front-end interface (this PRD covers the data pipeline and schema only).</w:t>
      </w:r>
    </w:p>
    <w:p>
      <w:pPr>
        <w:pStyle w:val="ListParagraph"/>
        <w:numPr>
          <w:ilvl w:val="0"/>
          <w:numId w:val="2"/>
        </w:numPr>
        <w:spacing w:before="60" w:after="60"/>
      </w:pPr>
      <w:r>
        <w:rPr>
          <w:rFonts w:ascii="Arial" w:cs="Arial" w:eastAsia="Arial" w:hAnsi="Arial"/>
          <w:sz w:val="22"/>
          <w:szCs w:val="22"/>
        </w:rPr>
        <w:t xml:space="preserve">Endgame tablebases.</w:t>
      </w:r>
    </w:p>
    <w:p>
      <w:pPr>
        <w:pBdr>
          <w:bottom w:val="single" w:color="1B4F72" w:sz="4" w:space="1"/>
        </w:pBdr>
        <w:spacing w:before="160" w:after="160"/>
      </w:pPr>
      <w:r>
        <w:t xml:space="preserve"/>
      </w:r>
    </w:p>
    <w:p>
      <w:pPr>
        <w:pStyle w:val="Heading1"/>
        <w:spacing w:before="400" w:after="200"/>
      </w:pPr>
      <w:r>
        <w:rPr>
          <w:rFonts w:ascii="Arial" w:cs="Arial" w:eastAsia="Arial" w:hAnsi="Arial"/>
          <w:b/>
          <w:bCs/>
          <w:sz w:val="32"/>
          <w:szCs w:val="32"/>
        </w:rPr>
        <w:t xml:space="preserve">4. Data Sources &amp; Ingestion Strategy</w:t>
      </w:r>
    </w:p>
    <w:p>
      <w:pPr>
        <w:spacing w:before="80" w:after="80"/>
      </w:pPr>
      <w:r>
        <w:rPr>
          <w:rFonts w:ascii="Arial" w:cs="Arial" w:eastAsia="Arial" w:hAnsi="Arial"/>
          <w:sz w:val="22"/>
          <w:szCs w:val="22"/>
        </w:rPr>
        <w:t xml:space="preserve">The database will be built in two layers. The first layer is a curated human-validated move tree extracted from existing opening databases. The second layer is engine annotation applied on top of that tree at key decision points. Relying on Stockfish alone is insufficient — it evaluates positions but does not natively produce named variation trees or flag the point at which one named opening becomes another.</w:t>
      </w:r>
    </w:p>
    <w:p>
      <w:pPr>
        <w:spacing w:before="80" w:after="80"/>
      </w:pPr>
      <w:r>
        <w:t xml:space="preserve"/>
      </w:r>
    </w:p>
    <w:p>
      <w:pPr>
        <w:pStyle w:val="Heading2"/>
        <w:spacing w:before="300" w:after="160"/>
      </w:pPr>
      <w:r>
        <w:rPr>
          <w:rFonts w:ascii="Arial" w:cs="Arial" w:eastAsia="Arial" w:hAnsi="Arial"/>
          <w:b/>
          <w:bCs/>
          <w:color w:val="1B4F72"/>
          <w:sz w:val="26"/>
          <w:szCs w:val="26"/>
        </w:rPr>
        <w:t xml:space="preserve">4.1 Primary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Source</w:t>
            </w:r>
          </w:p>
        </w:tc>
        <w:tc>
          <w:tcPr>
            <w:tcW w:type="dxa" w:w="22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43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Use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Lichess Opening Explorer API</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Free, real-game database</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Named move trees, variation frequency, win rates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 Encyclopedia (A00–E99)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taxonomy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Opening classification spine and naming authority</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TWIC / Week in Chess PGN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Master-level game archive</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Variation validation and rare line coverage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ChessBase Opening Encyclopedia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Commercial reference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Secondary validation and annotation cross-check</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Polyglot .bin opening books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Binary move tree format</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Machine-readable move probability tables</w:t>
            </w:r>
          </w:p>
        </w:tc>
      </w:tr>
    </w:tbl>
    <w:p>
      <w:pPr>
        <w:spacing w:before="80" w:after="80"/>
      </w:pPr>
      <w:r>
        <w:t xml:space="preserve"/>
      </w:r>
    </w:p>
    <w:p>
      <w:pPr>
        <w:pStyle w:val="Heading2"/>
        <w:spacing w:before="300" w:after="160"/>
      </w:pPr>
      <w:r>
        <w:rPr>
          <w:rFonts w:ascii="Arial" w:cs="Arial" w:eastAsia="Arial" w:hAnsi="Arial"/>
          <w:b/>
          <w:bCs/>
          <w:color w:val="1B4F72"/>
          <w:sz w:val="26"/>
          <w:szCs w:val="26"/>
        </w:rPr>
        <w:t xml:space="preserve">4.2 Engine Annotation Layer</w:t>
      </w:r>
    </w:p>
    <w:p>
      <w:pPr>
        <w:spacing w:before="80" w:after="80"/>
      </w:pPr>
      <w:r>
        <w:rPr>
          <w:rFonts w:ascii="Arial" w:cs="Arial" w:eastAsia="Arial" w:hAnsi="Arial"/>
          <w:sz w:val="22"/>
          <w:szCs w:val="22"/>
        </w:rPr>
        <w:t xml:space="preserve">Stockfish will be run in analysis mode on every branching node in the move tree — not on every position. This keeps compute tractable while ensuring evaluations exist at all meaningful decision points.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Annotation Field</w:t>
            </w:r>
          </w:p>
        </w:tc>
        <w:tc>
          <w:tcPr>
            <w:tcW w:type="dxa" w:w="61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Engine</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Stockfish 16+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depth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Depth 22 minimum; depth 26 for critical lines</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Output</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Centipawn score, best move, top 3 candidate moves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Threshold for ‘dubious’ flag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Evaluation ≤ -0.5 for the side that played the line</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Null-and-void flag</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Node where evaluation drops below -1.5; line considered theoretically busted</w:t>
            </w:r>
          </w:p>
        </w:tc>
      </w:tr>
    </w:tbl>
    <w:p>
      <w:pPr>
        <w:pBdr>
          <w:bottom w:val="single" w:color="1B4F72" w:sz="4" w:space="1"/>
        </w:pBdr>
        <w:spacing w:before="160" w:after="160"/>
      </w:pPr>
      <w:r>
        <w:t xml:space="preserve"/>
      </w:r>
    </w:p>
    <w:p>
      <w:pPr>
        <w:pStyle w:val="Heading1"/>
        <w:spacing w:before="400" w:after="200"/>
      </w:pPr>
      <w:r>
        <w:rPr>
          <w:rFonts w:ascii="Arial" w:cs="Arial" w:eastAsia="Arial" w:hAnsi="Arial"/>
          <w:b/>
          <w:bCs/>
          <w:sz w:val="32"/>
          <w:szCs w:val="32"/>
        </w:rPr>
        <w:t xml:space="preserve">5. Data Schema</w:t>
      </w:r>
    </w:p>
    <w:p>
      <w:pPr>
        <w:pStyle w:val="Heading2"/>
        <w:spacing w:before="300" w:after="160"/>
      </w:pPr>
      <w:r>
        <w:rPr>
          <w:rFonts w:ascii="Arial" w:cs="Arial" w:eastAsia="Arial" w:hAnsi="Arial"/>
          <w:b/>
          <w:bCs/>
          <w:color w:val="1B4F72"/>
          <w:sz w:val="26"/>
          <w:szCs w:val="26"/>
        </w:rPr>
        <w:t xml:space="preserve">5.1 Core Entities</w:t>
      </w:r>
    </w:p>
    <w:p>
      <w:pPr>
        <w:spacing w:before="80" w:after="80"/>
      </w:pPr>
      <w:r>
        <w:t xml:space="preserve"/>
      </w:r>
    </w:p>
    <w:p>
      <w:pPr>
        <w:pStyle w:val="Heading3"/>
        <w:spacing w:before="200" w:after="120"/>
      </w:pPr>
      <w:r>
        <w:rPr>
          <w:rFonts w:ascii="Arial" w:cs="Arial" w:eastAsia="Arial" w:hAnsi="Arial"/>
          <w:b/>
          <w:bCs/>
          <w:color w:val="2E86C1"/>
          <w:sz w:val="24"/>
          <w:szCs w:val="24"/>
        </w:rPr>
        <w:t xml:space="preserve">Opening Node</w:t>
      </w:r>
    </w:p>
    <w:p>
      <w:pPr>
        <w:spacing w:before="80" w:after="80"/>
      </w:pPr>
      <w:r>
        <w:rPr>
          <w:rFonts w:ascii="Arial" w:cs="Arial" w:eastAsia="Arial" w:hAnsi="Arial"/>
          <w:sz w:val="22"/>
          <w:szCs w:val="22"/>
        </w:rPr>
        <w:t xml:space="preserve">The atomic unit of the database. Every position in the move tree is an Opening Node.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14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55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node_id</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Unique identifier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FEN string for the position (canonical key)</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pgn_move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The move that created this position (e.g., e4, Nf3)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move_number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Fullmove number</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side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Enum (W/B)</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Which side just moved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eco_code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 classification (e.g., C50)</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opening_name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Primary opening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variation_name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Named sub-variation if applicable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parent_node_id</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Parent position in the tree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child_node_ids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legal continuations tracked in the database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is_branching_node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Boolean</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True if 2+ children exist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stockfish_eval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Centipawn evaluation at this node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stockfish_depth</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Depth at which eval was calculated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best_move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Stockfish top move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is_dubious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Boolean</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Eval ≤ -0.5 for the player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is_busted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 ≤ -1.5; line considered theoretically refuted</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transposition_ids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Nodes in other openings that reach this same FEN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resulting_structure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Middlegame pawn structure tag (e.g., IQP, Hedgehog)</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game_count</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Number of master games reaching this node (from Lichess)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white_win_pct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 % for white from this node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draw_pct</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Draw % from this node</w:t>
            </w:r>
          </w:p>
        </w:tc>
      </w:tr>
    </w:tbl>
    <w:p>
      <w:pPr>
        <w:spacing w:before="80" w:after="80"/>
      </w:pPr>
      <w:r>
        <w:t xml:space="preserve"/>
      </w:r>
    </w:p>
    <w:p>
      <w:pPr>
        <w:pStyle w:val="Heading3"/>
        <w:spacing w:before="200" w:after="120"/>
      </w:pPr>
      <w:r>
        <w:rPr>
          <w:rFonts w:ascii="Arial" w:cs="Arial" w:eastAsia="Arial" w:hAnsi="Arial"/>
          <w:b/>
          <w:bCs/>
          <w:color w:val="2E86C1"/>
          <w:sz w:val="24"/>
          <w:szCs w:val="24"/>
        </w:rPr>
        <w:t xml:space="preserve">Opening Entry</w:t>
      </w:r>
    </w:p>
    <w:p>
      <w:pPr>
        <w:spacing w:before="80" w:after="80"/>
      </w:pPr>
      <w:r>
        <w:rPr>
          <w:rFonts w:ascii="Arial" w:cs="Arial" w:eastAsia="Arial" w:hAnsi="Arial"/>
          <w:sz w:val="22"/>
          <w:szCs w:val="22"/>
        </w:rPr>
        <w:t xml:space="preserve">A named opening or variation — a logical grouping of nodes from the root of the tree to the point of structural resolution.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14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55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opening_id</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Unique identifier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eco_code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 code (A00–E99)</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name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Full canonical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Opening / Defense / Gambit / Structure / System</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root_node_id</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Node at move 1 for this opening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resolution_node_ids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Nodes where this opening ‘ends’ and transitions to structure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primary_color</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Enum (W/B)</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Which side the opening is primarily associated with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related_opening_ids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Transpositions and closely related lines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tags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Searchable tags (e.g., closed, gambit, fianchetto, IQP)</w:t>
            </w:r>
          </w:p>
        </w:tc>
      </w:tr>
    </w:tbl>
    <w:p>
      <w:pPr>
        <w:spacing w:before="80" w:after="80"/>
      </w:pPr>
      <w:r>
        <w:t xml:space="preserve"/>
      </w:r>
    </w:p>
    <w:p>
      <w:pPr>
        <w:pStyle w:val="Heading3"/>
        <w:spacing w:before="200" w:after="120"/>
      </w:pPr>
      <w:r>
        <w:rPr>
          <w:rFonts w:ascii="Arial" w:cs="Arial" w:eastAsia="Arial" w:hAnsi="Arial"/>
          <w:b/>
          <w:bCs/>
          <w:color w:val="2E86C1"/>
          <w:sz w:val="24"/>
          <w:szCs w:val="24"/>
        </w:rPr>
        <w:t xml:space="preserve">Pawn Structure</w:t>
      </w:r>
    </w:p>
    <w:p>
      <w:pPr>
        <w:spacing w:before="80" w:after="80"/>
      </w:pPr>
      <w:r>
        <w:rPr>
          <w:rFonts w:ascii="Arial" w:cs="Arial" w:eastAsia="Arial" w:hAnsi="Arial"/>
          <w:sz w:val="22"/>
          <w:szCs w:val="22"/>
        </w:rPr>
        <w:t xml:space="preserve">A named middlegame pawn configuration that can arise from multiple different openings.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16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53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structure_id</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UUID</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Unique identifier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 name (e.g., Isolated Queen’s Pawn)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Canonical description of the pawn configuration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arising_from_opening_ids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Openings that commonly produce this structure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typical_plans_white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Common white middlegame plans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typical_plans_black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Common black middlegame plans</w:t>
            </w:r>
          </w:p>
        </w:tc>
      </w:tr>
    </w:tbl>
    <w:p>
      <w:pPr>
        <w:pBdr>
          <w:bottom w:val="single" w:color="1B4F72" w:sz="4" w:space="1"/>
        </w:pBdr>
        <w:spacing w:before="160" w:after="160"/>
      </w:pPr>
      <w:r>
        <w:t xml:space="preserve"/>
      </w:r>
    </w:p>
    <w:p>
      <w:pPr>
        <w:pStyle w:val="Heading1"/>
        <w:spacing w:before="400" w:after="200"/>
      </w:pPr>
      <w:r>
        <w:rPr>
          <w:rFonts w:ascii="Arial" w:cs="Arial" w:eastAsia="Arial" w:hAnsi="Arial"/>
          <w:b/>
          <w:bCs/>
          <w:sz w:val="32"/>
          <w:szCs w:val="32"/>
        </w:rPr>
        <w:t xml:space="preserve">6. Build Pipeline</w:t>
      </w:r>
    </w:p>
    <w:p>
      <w:pPr>
        <w:pStyle w:val="Heading2"/>
        <w:spacing w:before="300" w:after="160"/>
      </w:pPr>
      <w:r>
        <w:rPr>
          <w:rFonts w:ascii="Arial" w:cs="Arial" w:eastAsia="Arial" w:hAnsi="Arial"/>
          <w:b/>
          <w:bCs/>
          <w:color w:val="1B4F72"/>
          <w:sz w:val="26"/>
          <w:szCs w:val="26"/>
        </w:rPr>
        <w:t xml:space="preserve">6.1 Phase 1 — Skeleton Construction from ECO</w:t>
      </w:r>
    </w:p>
    <w:p>
      <w:pPr>
        <w:spacing w:before="80" w:after="80"/>
      </w:pPr>
      <w:r>
        <w:rPr>
          <w:rFonts w:ascii="Arial" w:cs="Arial" w:eastAsia="Arial" w:hAnsi="Arial"/>
          <w:sz w:val="22"/>
          <w:szCs w:val="22"/>
        </w:rPr>
        <w:t xml:space="preserve">Use the ECO taxonomy as the scaffolding. Ingest all A00–E99 entries with their defining move sequences. This creates the named opening entries and establishes the tree spine. ECO covers roughly 1,200+ named openings and sub-variations and provides the authoritative naming structure.</w:t>
      </w:r>
    </w:p>
    <w:p>
      <w:pPr>
        <w:spacing w:before="80" w:after="80"/>
      </w:pPr>
      <w:r>
        <w:t xml:space="preserve"/>
      </w:r>
    </w:p>
    <w:p>
      <w:pPr>
        <w:pStyle w:val="Heading2"/>
        <w:spacing w:before="300" w:after="160"/>
      </w:pPr>
      <w:r>
        <w:rPr>
          <w:rFonts w:ascii="Arial" w:cs="Arial" w:eastAsia="Arial" w:hAnsi="Arial"/>
          <w:b/>
          <w:bCs/>
          <w:color w:val="1B4F72"/>
          <w:sz w:val="26"/>
          <w:szCs w:val="26"/>
        </w:rPr>
        <w:t xml:space="preserve">6.2 Phase 2 — Move Tree Expansion via Lichess API</w:t>
      </w:r>
    </w:p>
    <w:p>
      <w:pPr>
        <w:spacing w:before="80" w:after="80"/>
      </w:pPr>
      <w:r>
        <w:rPr>
          <w:rFonts w:ascii="Arial" w:cs="Arial" w:eastAsia="Arial" w:hAnsi="Arial"/>
          <w:sz w:val="22"/>
          <w:szCs w:val="22"/>
        </w:rPr>
        <w:t xml:space="preserve">Starting at each ECO root node, query the Lichess Opening Explorer API recursively to expand the tree. For each position, retrieve all moves played in master-level games above a frequency threshold (e.g., played in ≥ 50 games). Each returned move becomes a child node. Continue recursing until the opening reaches a structural resolution point or move depth 15, whichever comes first.</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Use FEN as the canonical key to deduplicate transpositions automatically.</w:t>
      </w:r>
    </w:p>
    <w:p>
      <w:pPr>
        <w:pStyle w:val="ListParagraph"/>
        <w:numPr>
          <w:ilvl w:val="0"/>
          <w:numId w:val="2"/>
        </w:numPr>
        <w:spacing w:before="60" w:after="60"/>
      </w:pPr>
      <w:r>
        <w:rPr>
          <w:rFonts w:ascii="Arial" w:cs="Arial" w:eastAsia="Arial" w:hAnsi="Arial"/>
          <w:sz w:val="22"/>
          <w:szCs w:val="22"/>
        </w:rPr>
        <w:t xml:space="preserve">Record game_count, win rates, and move frequency from Lichess at each node.</w:t>
      </w:r>
    </w:p>
    <w:p>
      <w:pPr>
        <w:pStyle w:val="ListParagraph"/>
        <w:numPr>
          <w:ilvl w:val="0"/>
          <w:numId w:val="2"/>
        </w:numPr>
        <w:spacing w:before="60" w:after="60"/>
      </w:pPr>
      <w:r>
        <w:rPr>
          <w:rFonts w:ascii="Arial" w:cs="Arial" w:eastAsia="Arial" w:hAnsi="Arial"/>
          <w:sz w:val="22"/>
          <w:szCs w:val="22"/>
        </w:rPr>
        <w:t xml:space="preserve">Flag nodes where multiple named opening labels apply (transposition candidates).</w:t>
      </w:r>
    </w:p>
    <w:p>
      <w:pPr>
        <w:spacing w:before="80" w:after="80"/>
      </w:pPr>
      <w:r>
        <w:t xml:space="preserve"/>
      </w:r>
    </w:p>
    <w:p>
      <w:pPr>
        <w:pStyle w:val="Heading2"/>
        <w:spacing w:before="300" w:after="160"/>
      </w:pPr>
      <w:r>
        <w:rPr>
          <w:rFonts w:ascii="Arial" w:cs="Arial" w:eastAsia="Arial" w:hAnsi="Arial"/>
          <w:b/>
          <w:bCs/>
          <w:color w:val="1B4F72"/>
          <w:sz w:val="26"/>
          <w:szCs w:val="26"/>
        </w:rPr>
        <w:t xml:space="preserve">6.3 Phase 3 — PGN Validation</w:t>
      </w:r>
    </w:p>
    <w:p>
      <w:pPr>
        <w:spacing w:before="80" w:after="80"/>
      </w:pPr>
      <w:r>
        <w:rPr>
          <w:rFonts w:ascii="Arial" w:cs="Arial" w:eastAsia="Arial" w:hAnsi="Arial"/>
          <w:sz w:val="22"/>
          <w:szCs w:val="22"/>
        </w:rPr>
        <w:t xml:space="preserve">Cross-reference the constructed tree against a PGN corpus from TWIC and other master-level archives. Any named variation appearing in ≥ 10 master games that is not in the tree should be flagged for manual review and addition. This catches rare but theoretically important lines that Lichess frequency thresholds might exclude.</w:t>
      </w:r>
    </w:p>
    <w:p>
      <w:pPr>
        <w:spacing w:before="80" w:after="80"/>
      </w:pPr>
      <w:r>
        <w:t xml:space="preserve"/>
      </w:r>
    </w:p>
    <w:p>
      <w:pPr>
        <w:pStyle w:val="Heading2"/>
        <w:spacing w:before="300" w:after="160"/>
      </w:pPr>
      <w:r>
        <w:rPr>
          <w:rFonts w:ascii="Arial" w:cs="Arial" w:eastAsia="Arial" w:hAnsi="Arial"/>
          <w:b/>
          <w:bCs/>
          <w:color w:val="1B4F72"/>
          <w:sz w:val="26"/>
          <w:szCs w:val="26"/>
        </w:rPr>
        <w:t xml:space="preserve">6.4 Phase 4 — Stockfish Annotation</w:t>
      </w:r>
    </w:p>
    <w:p>
      <w:pPr>
        <w:spacing w:before="80" w:after="80"/>
      </w:pPr>
      <w:r>
        <w:rPr>
          <w:rFonts w:ascii="Arial" w:cs="Arial" w:eastAsia="Arial" w:hAnsi="Arial"/>
          <w:sz w:val="22"/>
          <w:szCs w:val="22"/>
        </w:rPr>
        <w:t xml:space="preserve">Run Stockfish at depth 22+ on every node where is_branching_node = true. For terminal nodes (leaves), run at depth 18. Store centipawn evaluation, best move, and top 3 candidates. Apply the dubious and busted flags based on thresholds defined in Section 4.2.</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Parallelize Stockfish instances across available CPU cores.</w:t>
      </w:r>
    </w:p>
    <w:p>
      <w:pPr>
        <w:pStyle w:val="ListParagraph"/>
        <w:numPr>
          <w:ilvl w:val="0"/>
          <w:numId w:val="2"/>
        </w:numPr>
        <w:spacing w:before="60" w:after="60"/>
      </w:pPr>
      <w:r>
        <w:rPr>
          <w:rFonts w:ascii="Arial" w:cs="Arial" w:eastAsia="Arial" w:hAnsi="Arial"/>
          <w:sz w:val="22"/>
          <w:szCs w:val="22"/>
        </w:rPr>
        <w:t xml:space="preserve">Prioritize high game_count nodes first so the most practically relevant lines are annotated early.</w:t>
      </w:r>
    </w:p>
    <w:p>
      <w:pPr>
        <w:pStyle w:val="ListParagraph"/>
        <w:numPr>
          <w:ilvl w:val="0"/>
          <w:numId w:val="2"/>
        </w:numPr>
        <w:spacing w:before="60" w:after="60"/>
      </w:pPr>
      <w:r>
        <w:rPr>
          <w:rFonts w:ascii="Arial" w:cs="Arial" w:eastAsia="Arial" w:hAnsi="Arial"/>
          <w:sz w:val="22"/>
          <w:szCs w:val="22"/>
        </w:rPr>
        <w:t xml:space="preserve">Estimated compute: ~1.2M nodes at branching positions; at depth 22, approximately 300–600 node/seconds per core.</w:t>
      </w:r>
    </w:p>
    <w:p>
      <w:pPr>
        <w:spacing w:before="80" w:after="80"/>
      </w:pPr>
      <w:r>
        <w:t xml:space="preserve"/>
      </w:r>
    </w:p>
    <w:p>
      <w:pPr>
        <w:pStyle w:val="Heading2"/>
        <w:spacing w:before="300" w:after="160"/>
      </w:pPr>
      <w:r>
        <w:rPr>
          <w:rFonts w:ascii="Arial" w:cs="Arial" w:eastAsia="Arial" w:hAnsi="Arial"/>
          <w:b/>
          <w:bCs/>
          <w:color w:val="1B4F72"/>
          <w:sz w:val="26"/>
          <w:szCs w:val="26"/>
        </w:rPr>
        <w:t xml:space="preserve">6.5 Phase 5 — Structure Tagging</w:t>
      </w:r>
    </w:p>
    <w:p>
      <w:pPr>
        <w:spacing w:before="80" w:after="80"/>
      </w:pPr>
      <w:r>
        <w:rPr>
          <w:rFonts w:ascii="Arial" w:cs="Arial" w:eastAsia="Arial" w:hAnsi="Arial"/>
          <w:sz w:val="22"/>
          <w:szCs w:val="22"/>
        </w:rPr>
        <w:t xml:space="preserve">For each leaf node (where the opening resolves), assign a resulting_structure tag. This requires a classification step: given the FEN at that node, determine which named pawn structure it most closely resembles. This can be partially automated using pawn-skeleton hashing and validated manually for ambiguous cases.</w:t>
      </w:r>
    </w:p>
    <w:p>
      <w:pPr>
        <w:spacing w:before="80" w:after="80"/>
      </w:pPr>
      <w:r>
        <w:t xml:space="preserve"/>
      </w:r>
    </w:p>
    <w:p>
      <w:pPr>
        <w:pStyle w:val="Heading2"/>
        <w:spacing w:before="300" w:after="160"/>
      </w:pPr>
      <w:r>
        <w:rPr>
          <w:rFonts w:ascii="Arial" w:cs="Arial" w:eastAsia="Arial" w:hAnsi="Arial"/>
          <w:b/>
          <w:bCs/>
          <w:color w:val="1B4F72"/>
          <w:sz w:val="26"/>
          <w:szCs w:val="26"/>
        </w:rPr>
        <w:t xml:space="preserve">6.6 Phase 6 — Transposition Resolution</w:t>
      </w:r>
    </w:p>
    <w:p>
      <w:pPr>
        <w:spacing w:before="80" w:after="80"/>
      </w:pPr>
      <w:r>
        <w:rPr>
          <w:rFonts w:ascii="Arial" w:cs="Arial" w:eastAsia="Arial" w:hAnsi="Arial"/>
          <w:sz w:val="22"/>
          <w:szCs w:val="22"/>
        </w:rPr>
        <w:t xml:space="preserve">Query all nodes by FEN. Any FEN that appears under more than one opening_id is a transposition. Link those nodes bidirectionally via the transposition_ids field and surface them in queries so a user who reaches the position via the Queen’s Gambit can see that it is also reachable via the Catalan.</w:t>
      </w:r>
    </w:p>
    <w:p>
      <w:pPr>
        <w:pBdr>
          <w:bottom w:val="single" w:color="1B4F72" w:sz="4" w:space="1"/>
        </w:pBdr>
        <w:spacing w:before="160" w:after="160"/>
      </w:pPr>
      <w:r>
        <w:t xml:space="preserve"/>
      </w:r>
    </w:p>
    <w:p>
      <w:pPr>
        <w:pStyle w:val="Heading1"/>
        <w:spacing w:before="400" w:after="200"/>
      </w:pPr>
      <w:r>
        <w:rPr>
          <w:rFonts w:ascii="Arial" w:cs="Arial" w:eastAsia="Arial" w:hAnsi="Arial"/>
          <w:b/>
          <w:bCs/>
          <w:sz w:val="32"/>
          <w:szCs w:val="32"/>
        </w:rPr>
        <w:t xml:space="preserve">7. Opening Coverage Plan</w:t>
      </w:r>
    </w:p>
    <w:p>
      <w:pPr>
        <w:spacing w:before="80" w:after="80"/>
      </w:pPr>
      <w:r>
        <w:rPr>
          <w:rFonts w:ascii="Arial" w:cs="Arial" w:eastAsia="Arial" w:hAnsi="Arial"/>
          <w:sz w:val="22"/>
          <w:szCs w:val="22"/>
        </w:rPr>
        <w:t xml:space="preserve">The following table lists the major categories and representative entries that must be covered at launch. Sub-variations within each are required per the ECO expansion in Phase 2.</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36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Examples</w:t>
            </w:r>
          </w:p>
        </w:tc>
        <w:tc>
          <w:tcPr>
            <w:tcW w:type="dxa" w:w="31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ECO Range</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King’s Pawn Openings</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Italian, Ruy Lopez, Scotch, King’s Gambit, Vienna, Four Knights</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C20–C99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Sicilian Defense &amp; Variants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Sicilian, Najdorf, Dragon, Scheveningen, Kan, Alapin, Grand Prix</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B20–B99</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French Defense</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Classical, Winawer, Advance, Exchange, Tarrasch</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C00–C19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Caro-Kann Defense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Classical, Advance, Exchange, Panov-Botvinnik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B10–B19</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Queen’s Gambit &amp; Variants</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Accepted, Declined, Exchange, Slav, Semi-Slav, Catalan</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D06–D69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Indian Defenses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King’s Indian, Queen’s Indian, Nimzo-Indian, Grunfeld, Benko, Benoni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E00–E99</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Flank Openings</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English, Reti, Bird’s, Larsen’s</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A10–A39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London &amp; Colle Systems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London, Torre, Colle, Trompowsky, Stonewall Attack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D00–D05</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Minor / Unusual Openings</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Nimzowitsch, Owen’s, Scandinavian, Alekhine’s, Pirc, Modern</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B00–B09, A40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Pawn Structures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IQP, Hanging Pawns, Hedgehog, Maroczy Bind, Carlsbad, Dragon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Cross-cutting</w:t>
            </w:r>
          </w:p>
        </w:tc>
      </w:tr>
    </w:tbl>
    <w:p>
      <w:pPr>
        <w:pBdr>
          <w:bottom w:val="single" w:color="1B4F72" w:sz="4" w:space="1"/>
        </w:pBdr>
        <w:spacing w:before="160" w:after="160"/>
      </w:pPr>
      <w:r>
        <w:t xml:space="preserve"/>
      </w:r>
    </w:p>
    <w:p>
      <w:pPr>
        <w:pStyle w:val="Heading1"/>
        <w:spacing w:before="400" w:after="200"/>
      </w:pPr>
      <w:r>
        <w:rPr>
          <w:rFonts w:ascii="Arial" w:cs="Arial" w:eastAsia="Arial" w:hAnsi="Arial"/>
          <w:b/>
          <w:bCs/>
          <w:sz w:val="32"/>
          <w:szCs w:val="32"/>
        </w:rPr>
        <w:t xml:space="preserve">8. Functional Requirements</w:t>
      </w:r>
    </w:p>
    <w:p>
      <w:pPr>
        <w:pStyle w:val="Heading2"/>
        <w:spacing w:before="300" w:after="160"/>
      </w:pPr>
      <w:r>
        <w:rPr>
          <w:rFonts w:ascii="Arial" w:cs="Arial" w:eastAsia="Arial" w:hAnsi="Arial"/>
          <w:b/>
          <w:bCs/>
          <w:color w:val="1B4F72"/>
          <w:sz w:val="26"/>
          <w:szCs w:val="26"/>
        </w:rPr>
        <w:t xml:space="preserve">8.1 Query Interface</w:t>
      </w:r>
    </w:p>
    <w:p>
      <w:pPr>
        <w:pStyle w:val="ListParagraph"/>
        <w:numPr>
          <w:ilvl w:val="0"/>
          <w:numId w:val="2"/>
        </w:numPr>
        <w:spacing w:before="60" w:after="60"/>
      </w:pPr>
      <w:r>
        <w:rPr>
          <w:rFonts w:ascii="Arial" w:cs="Arial" w:eastAsia="Arial" w:hAnsi="Arial"/>
          <w:sz w:val="22"/>
          <w:szCs w:val="22"/>
        </w:rPr>
        <w:t xml:space="preserve">Query by ECO code → return full move tree for that opening.</w:t>
      </w:r>
    </w:p>
    <w:p>
      <w:pPr>
        <w:pStyle w:val="ListParagraph"/>
        <w:numPr>
          <w:ilvl w:val="0"/>
          <w:numId w:val="2"/>
        </w:numPr>
        <w:spacing w:before="60" w:after="60"/>
      </w:pPr>
      <w:r>
        <w:rPr>
          <w:rFonts w:ascii="Arial" w:cs="Arial" w:eastAsia="Arial" w:hAnsi="Arial"/>
          <w:sz w:val="22"/>
          <w:szCs w:val="22"/>
        </w:rPr>
        <w:t xml:space="preserve">Query by FEN → return the node, its name, eval, children, and transpositions.</w:t>
      </w:r>
    </w:p>
    <w:p>
      <w:pPr>
        <w:pStyle w:val="ListParagraph"/>
        <w:numPr>
          <w:ilvl w:val="0"/>
          <w:numId w:val="2"/>
        </w:numPr>
        <w:spacing w:before="60" w:after="60"/>
      </w:pPr>
      <w:r>
        <w:rPr>
          <w:rFonts w:ascii="Arial" w:cs="Arial" w:eastAsia="Arial" w:hAnsi="Arial"/>
          <w:sz w:val="22"/>
          <w:szCs w:val="22"/>
        </w:rPr>
        <w:t xml:space="preserve">Query by PGN move sequence → walk the tree and return the current node.</w:t>
      </w:r>
    </w:p>
    <w:p>
      <w:pPr>
        <w:pStyle w:val="ListParagraph"/>
        <w:numPr>
          <w:ilvl w:val="0"/>
          <w:numId w:val="2"/>
        </w:numPr>
        <w:spacing w:before="60" w:after="60"/>
      </w:pPr>
      <w:r>
        <w:rPr>
          <w:rFonts w:ascii="Arial" w:cs="Arial" w:eastAsia="Arial" w:hAnsi="Arial"/>
          <w:sz w:val="22"/>
          <w:szCs w:val="22"/>
        </w:rPr>
        <w:t xml:space="preserve">Query by opening name (fuzzy) → return matching Opening Entries.</w:t>
      </w:r>
    </w:p>
    <w:p>
      <w:pPr>
        <w:pStyle w:val="ListParagraph"/>
        <w:numPr>
          <w:ilvl w:val="0"/>
          <w:numId w:val="2"/>
        </w:numPr>
        <w:spacing w:before="60" w:after="60"/>
      </w:pPr>
      <w:r>
        <w:rPr>
          <w:rFonts w:ascii="Arial" w:cs="Arial" w:eastAsia="Arial" w:hAnsi="Arial"/>
          <w:sz w:val="22"/>
          <w:szCs w:val="22"/>
        </w:rPr>
        <w:t xml:space="preserve">Query by resulting structure → return all openings that resolve into that pawn structure.</w:t>
      </w:r>
    </w:p>
    <w:p>
      <w:pPr>
        <w:spacing w:before="80" w:after="80"/>
      </w:pPr>
      <w:r>
        <w:t xml:space="preserve"/>
      </w:r>
    </w:p>
    <w:p>
      <w:pPr>
        <w:pStyle w:val="Heading2"/>
        <w:spacing w:before="300" w:after="160"/>
      </w:pPr>
      <w:r>
        <w:rPr>
          <w:rFonts w:ascii="Arial" w:cs="Arial" w:eastAsia="Arial" w:hAnsi="Arial"/>
          <w:b/>
          <w:bCs/>
          <w:color w:val="1B4F72"/>
          <w:sz w:val="26"/>
          <w:szCs w:val="26"/>
        </w:rPr>
        <w:t xml:space="preserve">8.2 Data Export Formats</w:t>
      </w:r>
    </w:p>
    <w:p>
      <w:pPr>
        <w:pStyle w:val="ListParagraph"/>
        <w:numPr>
          <w:ilvl w:val="0"/>
          <w:numId w:val="2"/>
        </w:numPr>
        <w:spacing w:before="60" w:after="60"/>
      </w:pPr>
      <w:r>
        <w:rPr>
          <w:rFonts w:ascii="Arial" w:cs="Arial" w:eastAsia="Arial" w:hAnsi="Arial"/>
          <w:sz w:val="22"/>
          <w:szCs w:val="22"/>
        </w:rPr>
        <w:t xml:space="preserve">JSON tree export per opening.</w:t>
      </w:r>
    </w:p>
    <w:p>
      <w:pPr>
        <w:pStyle w:val="ListParagraph"/>
        <w:numPr>
          <w:ilvl w:val="0"/>
          <w:numId w:val="2"/>
        </w:numPr>
        <w:spacing w:before="60" w:after="60"/>
      </w:pPr>
      <w:r>
        <w:rPr>
          <w:rFonts w:ascii="Arial" w:cs="Arial" w:eastAsia="Arial" w:hAnsi="Arial"/>
          <w:sz w:val="22"/>
          <w:szCs w:val="22"/>
        </w:rPr>
        <w:t xml:space="preserve">PGN export with variation annotations and Stockfish eval comments.</w:t>
      </w:r>
    </w:p>
    <w:p>
      <w:pPr>
        <w:pStyle w:val="ListParagraph"/>
        <w:numPr>
          <w:ilvl w:val="0"/>
          <w:numId w:val="2"/>
        </w:numPr>
        <w:spacing w:before="60" w:after="60"/>
      </w:pPr>
      <w:r>
        <w:rPr>
          <w:rFonts w:ascii="Arial" w:cs="Arial" w:eastAsia="Arial" w:hAnsi="Arial"/>
          <w:sz w:val="22"/>
          <w:szCs w:val="22"/>
        </w:rPr>
        <w:t xml:space="preserve">Polyglot binary format for integration with chess engines and GUIs.</w:t>
      </w:r>
    </w:p>
    <w:p>
      <w:pPr>
        <w:pStyle w:val="ListParagraph"/>
        <w:numPr>
          <w:ilvl w:val="0"/>
          <w:numId w:val="2"/>
        </w:numPr>
        <w:spacing w:before="60" w:after="60"/>
      </w:pPr>
      <w:r>
        <w:rPr>
          <w:rFonts w:ascii="Arial" w:cs="Arial" w:eastAsia="Arial" w:hAnsi="Arial"/>
          <w:sz w:val="22"/>
          <w:szCs w:val="22"/>
        </w:rPr>
        <w:t xml:space="preserve">CSV flat export of all Opening Nodes for analysis tooling.</w:t>
      </w:r>
    </w:p>
    <w:p>
      <w:pPr>
        <w:spacing w:before="80" w:after="80"/>
      </w:pPr>
      <w:r>
        <w:t xml:space="preserve"/>
      </w:r>
    </w:p>
    <w:p>
      <w:pPr>
        <w:pStyle w:val="Heading2"/>
        <w:spacing w:before="300" w:after="160"/>
      </w:pPr>
      <w:r>
        <w:rPr>
          <w:rFonts w:ascii="Arial" w:cs="Arial" w:eastAsia="Arial" w:hAnsi="Arial"/>
          <w:b/>
          <w:bCs/>
          <w:color w:val="1B4F72"/>
          <w:sz w:val="26"/>
          <w:szCs w:val="26"/>
        </w:rPr>
        <w:t xml:space="preserve">8.3 Maintenance &amp; Updates</w:t>
      </w:r>
    </w:p>
    <w:p>
      <w:pPr>
        <w:pStyle w:val="ListParagraph"/>
        <w:numPr>
          <w:ilvl w:val="0"/>
          <w:numId w:val="2"/>
        </w:numPr>
        <w:spacing w:before="60" w:after="60"/>
      </w:pPr>
      <w:r>
        <w:rPr>
          <w:rFonts w:ascii="Arial" w:cs="Arial" w:eastAsia="Arial" w:hAnsi="Arial"/>
          <w:sz w:val="22"/>
          <w:szCs w:val="22"/>
        </w:rPr>
        <w:t xml:space="preserve">Monthly re-ingestion from Lichess API to capture newly popular lines.</w:t>
      </w:r>
    </w:p>
    <w:p>
      <w:pPr>
        <w:pStyle w:val="ListParagraph"/>
        <w:numPr>
          <w:ilvl w:val="0"/>
          <w:numId w:val="2"/>
        </w:numPr>
        <w:spacing w:before="60" w:after="60"/>
      </w:pPr>
      <w:r>
        <w:rPr>
          <w:rFonts w:ascii="Arial" w:cs="Arial" w:eastAsia="Arial" w:hAnsi="Arial"/>
          <w:sz w:val="22"/>
          <w:szCs w:val="22"/>
        </w:rPr>
        <w:t xml:space="preserve">Flag any new node with game_count ≥ 50 for Stockfish annotation within 7 days of discovery.</w:t>
      </w:r>
    </w:p>
    <w:p>
      <w:pPr>
        <w:pStyle w:val="ListParagraph"/>
        <w:numPr>
          <w:ilvl w:val="0"/>
          <w:numId w:val="2"/>
        </w:numPr>
        <w:spacing w:before="60" w:after="60"/>
      </w:pPr>
      <w:r>
        <w:rPr>
          <w:rFonts w:ascii="Arial" w:cs="Arial" w:eastAsia="Arial" w:hAnsi="Arial"/>
          <w:sz w:val="22"/>
          <w:szCs w:val="22"/>
        </w:rPr>
        <w:t xml:space="preserve">Version control on the move tree: track when nodes were added or modified.</w:t>
      </w:r>
    </w:p>
    <w:p>
      <w:pPr>
        <w:pBdr>
          <w:bottom w:val="single" w:color="1B4F72" w:sz="4" w:space="1"/>
        </w:pBdr>
        <w:spacing w:before="160" w:after="160"/>
      </w:pPr>
      <w:r>
        <w:t xml:space="preserve"/>
      </w:r>
    </w:p>
    <w:p>
      <w:pPr>
        <w:pStyle w:val="Heading1"/>
        <w:spacing w:before="400" w:after="200"/>
      </w:pPr>
      <w:r>
        <w:rPr>
          <w:rFonts w:ascii="Arial" w:cs="Arial" w:eastAsia="Arial" w:hAnsi="Arial"/>
          <w:b/>
          <w:bCs/>
          <w:sz w:val="32"/>
          <w:szCs w:val="32"/>
        </w:rPr>
        <w:t xml:space="preserve">9.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61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Specification</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Database type</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Graph database preferred (Neo4j or similar); relational acceptable with adjacency list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FEN index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index on FEN field; query time &lt; 10ms</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Storage estimate</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~2M nodes × avg 800 bytes = ~1.6GB uncompressed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PGN corpus storage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~50GB for full master-level game archive</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Stockfish compute estimate</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~400 CPU-hours for full branching node annotation at depth 22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rate limiting (Lichess)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Respect 1 req/sec unauthenticated; use OAuth for 8 req/sec</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Data license compliance</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Lichess data is CC0; TWIC data is free for non-commercial use</w:t>
            </w:r>
          </w:p>
        </w:tc>
      </w:tr>
    </w:tbl>
    <w:p>
      <w:pPr>
        <w:pBdr>
          <w:bottom w:val="single" w:color="1B4F72" w:sz="4" w:space="1"/>
        </w:pBdr>
        <w:spacing w:before="160" w:after="160"/>
      </w:pPr>
      <w:r>
        <w:t xml:space="preserve"/>
      </w:r>
    </w:p>
    <w:p>
      <w:pPr>
        <w:pStyle w:val="Heading1"/>
        <w:spacing w:before="400" w:after="200"/>
      </w:pPr>
      <w:r>
        <w:rPr>
          <w:rFonts w:ascii="Arial" w:cs="Arial" w:eastAsia="Arial" w:hAnsi="Arial"/>
          <w:b/>
          <w:bCs/>
          <w:sz w:val="32"/>
          <w:szCs w:val="32"/>
        </w:rPr>
        <w:t xml:space="preserve">10. Milestones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2760"/>
      </w:tblGrid>
      <w:tr>
        <w:trPr>
          <w:tblHeader/>
        </w:trPr>
        <w:tc>
          <w:tcPr>
            <w:tcW w:type="dxa" w:w="16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50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Deliverable</w:t>
            </w:r>
          </w:p>
        </w:tc>
        <w:tc>
          <w:tcPr>
            <w:tcW w:type="dxa" w:w="27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Target</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Phase 1</w:t>
            </w:r>
          </w:p>
        </w:tc>
        <w:tc>
          <w:tcPr>
            <w:tcW w:type="dxa" w:w="5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ECO skeleton ingested, all A00–E99 named entries in DB</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Week 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Lichess move tree expansion complete (all openings to depth 15)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6</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Phase 3</w:t>
            </w:r>
          </w:p>
        </w:tc>
        <w:tc>
          <w:tcPr>
            <w:tcW w:type="dxa" w:w="5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PGN corpus validation; flagged gaps resolved</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Week 8</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Stockfish annotation on all branching nodes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12</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Phase 5</w:t>
            </w:r>
          </w:p>
        </w:tc>
        <w:tc>
          <w:tcPr>
            <w:tcW w:type="dxa" w:w="5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Pawn structure tagging complete</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Week 14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6</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Transposition resolution and cross-linking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16</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QA</w:t>
            </w:r>
          </w:p>
        </w:tc>
        <w:tc>
          <w:tcPr>
            <w:tcW w:type="dxa" w:w="5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Coverage audit, eval spot-checks, query performance testing</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Week 18</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 Release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database available with export and query API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20</w:t>
            </w:r>
          </w:p>
        </w:tc>
      </w:tr>
    </w:tbl>
    <w:p>
      <w:pPr>
        <w:pBdr>
          <w:bottom w:val="single" w:color="1B4F72" w:sz="4" w:space="1"/>
        </w:pBdr>
        <w:spacing w:before="160" w:after="160"/>
      </w:pPr>
      <w:r>
        <w:t xml:space="preserve"/>
      </w:r>
    </w:p>
    <w:p>
      <w:pPr>
        <w:pStyle w:val="Heading1"/>
        <w:spacing w:before="400" w:after="200"/>
      </w:pPr>
      <w:r>
        <w:rPr>
          <w:rFonts w:ascii="Arial" w:cs="Arial" w:eastAsia="Arial" w:hAnsi="Arial"/>
          <w:b/>
          <w:bCs/>
          <w:sz w:val="32"/>
          <w:szCs w:val="32"/>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Risk</w:t>
            </w:r>
          </w:p>
        </w:tc>
        <w:tc>
          <w:tcPr>
            <w:tcW w:type="dxa" w:w="14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Likelihood</w:t>
            </w:r>
          </w:p>
        </w:tc>
        <w:tc>
          <w:tcPr>
            <w:tcW w:type="dxa" w:w="51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Lichess API rate limits slow ingestion</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High</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 OAuth token; batch requests; implement exponential backoff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Stockfish compute time exceeds budget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 depth to 18 for low-frequency nodes; prioritize by game_count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Transposition complexity creates circular references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 FEN deduplication at ingest; store transpositions as references not copies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 naming inconsistencies vs. modern usage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ECO as primary; surface alternate names as aliases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Coverage gaps in rare lines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Low</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PGN validation phase catches these; mark as ‘stub’ and expand on-demand</w:t>
            </w:r>
          </w:p>
        </w:tc>
      </w:tr>
    </w:tbl>
    <w:p>
      <w:pPr>
        <w:pBdr>
          <w:bottom w:val="single" w:color="1B4F72" w:sz="4" w:space="1"/>
        </w:pBdr>
        <w:spacing w:before="160" w:after="160"/>
      </w:pPr>
      <w:r>
        <w:t xml:space="preserve"/>
      </w:r>
    </w:p>
    <w:p>
      <w:pPr>
        <w:pStyle w:val="Heading1"/>
        <w:spacing w:before="400" w:after="200"/>
      </w:pPr>
      <w:r>
        <w:rPr>
          <w:rFonts w:ascii="Arial" w:cs="Arial" w:eastAsia="Arial" w:hAnsi="Arial"/>
          <w:b/>
          <w:bCs/>
          <w:sz w:val="32"/>
          <w:szCs w:val="32"/>
        </w:rPr>
        <w:t xml:space="preserve">12. Open Questions</w:t>
      </w:r>
    </w:p>
    <w:p>
      <w:pPr>
        <w:pStyle w:val="ListParagraph"/>
        <w:numPr>
          <w:ilvl w:val="0"/>
          <w:numId w:val="2"/>
        </w:numPr>
        <w:spacing w:before="60" w:after="60"/>
      </w:pPr>
      <w:r>
        <w:rPr>
          <w:rFonts w:ascii="Arial" w:cs="Arial" w:eastAsia="Arial" w:hAnsi="Arial"/>
          <w:sz w:val="22"/>
          <w:szCs w:val="22"/>
        </w:rPr>
        <w:t xml:space="preserve">Should the database store the full game continuation beyond move 15, or strictly the opening phase?</w:t>
      </w:r>
    </w:p>
    <w:p>
      <w:pPr>
        <w:pStyle w:val="ListParagraph"/>
        <w:numPr>
          <w:ilvl w:val="0"/>
          <w:numId w:val="2"/>
        </w:numPr>
        <w:spacing w:before="60" w:after="60"/>
      </w:pPr>
      <w:r>
        <w:rPr>
          <w:rFonts w:ascii="Arial" w:cs="Arial" w:eastAsia="Arial" w:hAnsi="Arial"/>
          <w:sz w:val="22"/>
          <w:szCs w:val="22"/>
        </w:rPr>
        <w:t xml:space="preserve">Will the query API be public-facing or internal tooling only? This affects rate limiting and authentication design.</w:t>
      </w:r>
    </w:p>
    <w:p>
      <w:pPr>
        <w:pStyle w:val="ListParagraph"/>
        <w:numPr>
          <w:ilvl w:val="0"/>
          <w:numId w:val="2"/>
        </w:numPr>
        <w:spacing w:before="60" w:after="60"/>
      </w:pPr>
      <w:r>
        <w:rPr>
          <w:rFonts w:ascii="Arial" w:cs="Arial" w:eastAsia="Arial" w:hAnsi="Arial"/>
          <w:sz w:val="22"/>
          <w:szCs w:val="22"/>
        </w:rPr>
        <w:t xml:space="preserve">Is a graph database required from the start, or is a relational adjacency list sufficient for v1?</w:t>
      </w:r>
    </w:p>
    <w:p>
      <w:pPr>
        <w:pStyle w:val="ListParagraph"/>
        <w:numPr>
          <w:ilvl w:val="0"/>
          <w:numId w:val="2"/>
        </w:numPr>
        <w:spacing w:before="60" w:after="60"/>
      </w:pPr>
      <w:r>
        <w:rPr>
          <w:rFonts w:ascii="Arial" w:cs="Arial" w:eastAsia="Arial" w:hAnsi="Arial"/>
          <w:sz w:val="22"/>
          <w:szCs w:val="22"/>
        </w:rPr>
        <w:t xml:space="preserve">How should conflicting variation names be handled when ECO, Lichess, and ChessBase disagree on naming?</w:t>
      </w:r>
    </w:p>
    <w:p>
      <w:pPr>
        <w:pStyle w:val="ListParagraph"/>
        <w:numPr>
          <w:ilvl w:val="0"/>
          <w:numId w:val="2"/>
        </w:numPr>
        <w:spacing w:before="60" w:after="60"/>
      </w:pPr>
      <w:r>
        <w:rPr>
          <w:rFonts w:ascii="Arial" w:cs="Arial" w:eastAsia="Arial" w:hAnsi="Arial"/>
          <w:sz w:val="22"/>
          <w:szCs w:val="22"/>
        </w:rPr>
        <w:t xml:space="preserve">Should the structure-tagging step be automated, manual, or hybrid?</w:t>
      </w:r>
    </w:p>
    <w:p>
      <w:pPr>
        <w:pBdr>
          <w:bottom w:val="single" w:color="1B4F72" w:sz="4" w:space="1"/>
        </w:pBdr>
        <w:spacing w:before="160" w:after="160"/>
      </w:pPr>
      <w:r>
        <w:t xml:space="preserve"/>
      </w:r>
    </w:p>
    <w:p>
      <w:pPr>
        <w:pStyle w:val="Heading1"/>
        <w:spacing w:before="400" w:after="200"/>
      </w:pPr>
      <w:r>
        <w:rPr>
          <w:rFonts w:ascii="Arial" w:cs="Arial" w:eastAsia="Arial" w:hAnsi="Arial"/>
          <w:b/>
          <w:bCs/>
          <w:sz w:val="32"/>
          <w:szCs w:val="32"/>
        </w:rPr>
        <w:t xml:space="preserve">Appendix: Key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Term</w:t>
            </w:r>
          </w:p>
        </w:tc>
        <w:tc>
          <w:tcPr>
            <w:tcW w:type="dxa" w:w="69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ECO</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Encyclopedia of Chess Openings — the standard A00–E99 classification system for openings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Forsyth-Edwards Notation — a string that fully describes a chess board position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PGN</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Portable Game Notation — standard format for recording chess games and move sequences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Branching node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position in the tree where two or more named continuations exist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Transposition</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When two different move orders reach the same position (same FEN)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Resolution point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move where an opening formally ends and a named middlegame structure begins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Dubious line</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 theoretically questionable line where Stockfish eval is ≤ -0.5 for the player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Busted line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line considered theoretically refuted; eval ≤ -1.5 for the player</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Centipawn</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Unit of chess evaluation: 100 centipawns = 1 pawn of advantage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Polyglot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binary opening book format readable by most chess engines and GUIs</w:t>
            </w:r>
          </w:p>
        </w:tc>
      </w:tr>
    </w:tbl>
    <w:p>
      <w:pPr>
        <w:spacing w:before="80" w:after="8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Chess Opening Knowledge Base PRD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B4F7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2026-02-20T01:50:03.527Z</dcterms:created>
  <dcterms:modified xsi:type="dcterms:W3CDTF">2026-02-20T01:50:03.527Z</dcterms:modified>
</cp:coreProperties>
</file>

<file path=docProps/custom.xml><?xml version="1.0" encoding="utf-8"?>
<Properties xmlns="http://schemas.openxmlformats.org/officeDocument/2006/custom-properties" xmlns:vt="http://schemas.openxmlformats.org/officeDocument/2006/docPropsVTypes"/>
</file>