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A5173"/>
          <w:sz w:val="32"/>
          <w:szCs w:val="32"/>
        </w:rPr>
        <w:t xml:space="preserve">Geschäftsordnung des Vorstands</w:t>
      </w:r>
    </w:p>
    <w:p>
      <w:pPr>
        <w:spacing w:after="240"/>
      </w:pPr>
      <w:r>
        <w:rPr>
          <w:i/>
          <w:iCs/>
          <w:color w:val="1B2A33"/>
          <w:sz w:val="22"/>
          <w:szCs w:val="22"/>
        </w:rPr>
        <w:t xml:space="preserve">Verein „Sportbad Mannheim“ (Arbeitstitel) · Entwurf · Stand September 2026</w:t>
      </w:r>
    </w:p>
    <w:p>
      <w:pPr>
        <w:pBdr>
          <w:top w:val="single" w:color="C0784A" w:sz="6"/>
          <w:bottom w:val="single" w:color="C0784A" w:sz="6"/>
          <w:left w:val="single" w:color="C0784A" w:sz="6"/>
          <w:right w:val="single" w:color="C0784A" w:sz="6"/>
        </w:pBdr>
        <w:shd w:fill="FBF0E6" w:val="clear"/>
        <w:spacing w:after="240"/>
      </w:pPr>
      <w:r>
        <w:rPr>
          <w:b/>
          <w:bCs/>
          <w:sz w:val="19"/>
          <w:szCs w:val="19"/>
        </w:rPr>
        <w:t xml:space="preserve">Interne Ordnung – Entwurf.</w:t>
      </w:r>
      <w:r>
        <w:rPr>
          <w:b w:val="false"/>
          <w:bCs w:val="false"/>
          <w:sz w:val="19"/>
          <w:szCs w:val="19"/>
        </w:rPr>
        <w:br/>
        <w:t xml:space="preserve">Beschlossen vom Vorstand auf Grundlage von § 11 Abs. 5 der Satzung. Sie ist der Satzung nachrangig; bei Widersprüchen gilt die Satzung.</w:t>
      </w:r>
      <w:r>
        <w:rPr>
          <w:b w:val="false"/>
          <w:bCs w:val="false"/>
          <w:sz w:val="19"/>
          <w:szCs w:val="19"/>
        </w:rPr>
        <w:br/>
        <w:t xml:space="preserve">Die Wertgrenzen in § 6 sind ein Vorschlag und keine rechtliche Vorgabe – der Vorstand legt sie eigenständig fest und kann sie jederzeit durch Beschluss anpassen, ohne Mitgliederversammlung und ohne Registereintrag.</w:t>
      </w:r>
    </w:p>
    <w:p>
      <w:pPr>
        <w:keepNext/>
        <w:spacing w:after="60" w:before="200"/>
      </w:pPr>
      <w:r>
        <w:rPr>
          <w:b/>
          <w:bCs/>
          <w:color w:val="0A5173"/>
          <w:sz w:val="23"/>
          <w:szCs w:val="23"/>
        </w:rPr>
        <w:t xml:space="preserve">§ 1 Grundlage und Geltungsbereich</w:t>
      </w:r>
    </w:p>
    <w:p>
      <w:pPr>
        <w:spacing w:after="80"/>
      </w:pPr>
      <w:r>
        <w:rPr>
          <w:sz w:val="21"/>
          <w:szCs w:val="21"/>
        </w:rPr>
        <w:t xml:space="preserve">(1) Diese Geschäftsordnung regelt die interne Arbeit des Vorstandes, die Fachausschüsse sowie die Zeichnungs- und Vertretungsregelung des Vereins.</w:t>
      </w:r>
    </w:p>
    <w:p>
      <w:pPr>
        <w:spacing w:after="80"/>
      </w:pPr>
      <w:r>
        <w:rPr>
          <w:sz w:val="21"/>
          <w:szCs w:val="21"/>
        </w:rPr>
        <w:t xml:space="preserve">(2) Sie ist eine interne Ordnung im Sinne von § 11 Abs. 5 der Satzung und wirkt nur im Innenverhältnis. Die satzungsmäßige Vertretung des Vereins nach außen (§ 11 Abs. 2 der Satzung) bleibt unberührt.</w:t>
      </w:r>
    </w:p>
    <w:p>
      <w:pPr>
        <w:keepNext/>
        <w:spacing w:after="60" w:before="200"/>
      </w:pPr>
      <w:r>
        <w:rPr>
          <w:b/>
          <w:bCs/>
          <w:color w:val="0A5173"/>
          <w:sz w:val="23"/>
          <w:szCs w:val="23"/>
        </w:rPr>
        <w:t xml:space="preserve">§ 2 Ressortverteilung im Vorstand</w:t>
      </w:r>
    </w:p>
    <w:p>
      <w:pPr>
        <w:spacing w:after="80"/>
      </w:pPr>
      <w:r>
        <w:rPr>
          <w:sz w:val="21"/>
          <w:szCs w:val="21"/>
        </w:rPr>
        <w:t xml:space="preserve">(1) Der Vorstand verteilt die Arbeitsbereiche (Ressorts) unter seinen Mitgliedern und weist jedem Fachausschuss ein verantwortliches Vorstandsmitglied zu.</w:t>
      </w:r>
    </w:p>
    <w:p>
      <w:pPr>
        <w:spacing w:after="80"/>
      </w:pPr>
      <w:r>
        <w:rPr>
          <w:sz w:val="21"/>
          <w:szCs w:val="21"/>
        </w:rPr>
        <w:t xml:space="preserve">(2) Jedes Vorstandsmitglied führt sein Ressort eigenverantwortlich im Rahmen der Beschlüsse des Vorstandes und des Haushaltsplans.</w:t>
      </w:r>
    </w:p>
    <w:p>
      <w:pPr>
        <w:keepNext/>
        <w:spacing w:after="60" w:before="200"/>
      </w:pPr>
      <w:r>
        <w:rPr>
          <w:b/>
          <w:bCs/>
          <w:color w:val="0A5173"/>
          <w:sz w:val="23"/>
          <w:szCs w:val="23"/>
        </w:rPr>
        <w:t xml:space="preserve">§ 3 Vorstandssitzungen und Beschlussfassung</w:t>
      </w:r>
    </w:p>
    <w:p>
      <w:pPr>
        <w:spacing w:after="80"/>
      </w:pPr>
      <w:r>
        <w:rPr>
          <w:sz w:val="21"/>
          <w:szCs w:val="21"/>
        </w:rPr>
        <w:t xml:space="preserve">(1) Der Vorstand tagt nach Bedarf, mindestens jedoch [vierteljährlich]. Sitzungen können in Präsenz, hybrid oder virtuell stattfinden. Die Einladung erfolgt in Textform mit einer Frist von [einer Woche] unter Angabe der Tagesordnung.</w:t>
      </w:r>
    </w:p>
    <w:p>
      <w:pPr>
        <w:spacing w:after="80"/>
      </w:pPr>
      <w:r>
        <w:rPr>
          <w:sz w:val="21"/>
          <w:szCs w:val="21"/>
        </w:rPr>
        <w:t xml:space="preserve">(2) Der Vorstand ist beschlussfähig, wenn mehr als die Hälfte seiner Mitglieder teilnimmt. Beschlüsse werden mit einfacher Mehrheit gefasst; bei Stimmengleichheit gilt der Antrag als abgelehnt.</w:t>
      </w:r>
    </w:p>
    <w:p>
      <w:pPr>
        <w:spacing w:after="80"/>
      </w:pPr>
      <w:r>
        <w:rPr>
          <w:sz w:val="21"/>
          <w:szCs w:val="21"/>
        </w:rPr>
        <w:t xml:space="preserve">(3) Beschlüsse können auch außerhalb von Sitzungen in Textform (Umlaufbeschluss) gefasst werden, wenn kein Mitglied widerspricht.</w:t>
      </w:r>
    </w:p>
    <w:p>
      <w:pPr>
        <w:spacing w:after="80"/>
      </w:pPr>
      <w:r>
        <w:rPr>
          <w:sz w:val="21"/>
          <w:szCs w:val="21"/>
        </w:rPr>
        <w:t xml:space="preserve">(4) Über die Beschlüsse ist ein kurzes Protokoll zu führen und den Vorstandsmitgliedern zugänglich zu machen.</w:t>
      </w:r>
    </w:p>
    <w:p>
      <w:pPr>
        <w:keepNext/>
        <w:spacing w:after="60" w:before="200"/>
      </w:pPr>
      <w:r>
        <w:rPr>
          <w:b/>
          <w:bCs/>
          <w:color w:val="0A5173"/>
          <w:sz w:val="23"/>
          <w:szCs w:val="23"/>
        </w:rPr>
        <w:t xml:space="preserve">§ 4 Fachausschüsse – Allgemeines</w:t>
      </w:r>
    </w:p>
    <w:p>
      <w:pPr>
        <w:spacing w:after="80"/>
      </w:pPr>
      <w:r>
        <w:rPr>
          <w:sz w:val="21"/>
          <w:szCs w:val="21"/>
        </w:rPr>
        <w:t xml:space="preserve">(1) Der Vorstand bildet zur Vorbereitung und Umsetzung seiner Aufgaben Fachausschüsse. Er kann Ausschüsse einrichten, zusammenlegen oder auflösen.</w:t>
      </w:r>
    </w:p>
    <w:p>
      <w:pPr>
        <w:spacing w:after="80"/>
      </w:pPr>
      <w:r>
        <w:rPr>
          <w:sz w:val="21"/>
          <w:szCs w:val="21"/>
        </w:rPr>
        <w:t xml:space="preserve">(2) Jeder Ausschuss wird von einem Vorstandsmitglied geleitet. Weitere Mitglieder des Vereins können mitarbeiten; sie müssen nicht dem Vorstand angehören.</w:t>
      </w:r>
    </w:p>
    <w:p>
      <w:pPr>
        <w:spacing w:after="80"/>
      </w:pPr>
      <w:r>
        <w:rPr>
          <w:sz w:val="21"/>
          <w:szCs w:val="21"/>
        </w:rPr>
        <w:t xml:space="preserve">(3) Die Fachausschüsse arbeiten dem Vorstand zu und bereiten Entscheidungen vor. Sie haben keine eigene Entscheidungsbefugnis nach außen und keine Vertretungsmacht; sie können den Verein nicht binden. Verträge werden ausschließlich nach der Regelung in § 6 geschlossen.</w:t>
      </w:r>
    </w:p>
    <w:p>
      <w:pPr>
        <w:keepNext/>
        <w:spacing w:after="60" w:before="200"/>
      </w:pPr>
      <w:r>
        <w:rPr>
          <w:b/>
          <w:bCs/>
          <w:color w:val="0A5173"/>
          <w:sz w:val="23"/>
          <w:szCs w:val="23"/>
        </w:rPr>
        <w:t xml:space="preserve">§ 5 Die Fachausschüsse im Einzelnen</w:t>
      </w:r>
    </w:p>
    <w:p>
      <w:pPr>
        <w:keepNext/>
        <w:spacing w:after="40" w:before="120"/>
      </w:pPr>
      <w:r>
        <w:rPr>
          <w:b/>
          <w:bCs/>
          <w:color w:val="1B2A33"/>
          <w:sz w:val="21"/>
          <w:szCs w:val="21"/>
        </w:rPr>
        <w:t xml:space="preserve">(1) Ausschuss Technik &amp; Instandhaltung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Anlagen- und Bädertechnik, Wartung, Störungsbeseitigung, Winterbetrieb;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Kontraktoren- und Handwerkermanagement, Angebote einholen, Leistungen abnehmen;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Anbindung des betreuenden Fachmanns und der Dienstleister.</w:t>
      </w:r>
    </w:p>
    <w:p>
      <w:pPr>
        <w:keepNext/>
        <w:spacing w:after="40" w:before="120"/>
      </w:pPr>
      <w:r>
        <w:rPr>
          <w:b/>
          <w:bCs/>
          <w:color w:val="1B2A33"/>
          <w:sz w:val="21"/>
          <w:szCs w:val="21"/>
        </w:rPr>
        <w:t xml:space="preserve">(2) Ausschuss Finanzen &amp; Fundraising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Haushaltsplan, Buchhaltung, Zahlungsverkehr, Rücklagen;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Sponsoring, Spenden, Stiftungen, Mitgliederdarlehen;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Vorbereitung von Fördermittelanträgen.</w:t>
      </w:r>
    </w:p>
    <w:p>
      <w:pPr>
        <w:keepNext/>
        <w:spacing w:after="40" w:before="120"/>
      </w:pPr>
      <w:r>
        <w:rPr>
          <w:b/>
          <w:bCs/>
          <w:color w:val="1B2A33"/>
          <w:sz w:val="21"/>
          <w:szCs w:val="21"/>
        </w:rPr>
        <w:t xml:space="preserve">(3) Ausschuss Betrieb &amp; Personal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Badbetrieb, Aufsicht/DLRG-Kooperation, Dienst- und Belegungspläne;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Einweisung und Schulung des eingesetzten Personals;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Arbeitssicherheit und Hygiene im laufenden Betrieb.</w:t>
      </w:r>
    </w:p>
    <w:p>
      <w:pPr>
        <w:keepNext/>
        <w:spacing w:after="40" w:before="120"/>
      </w:pPr>
      <w:r>
        <w:rPr>
          <w:b/>
          <w:bCs/>
          <w:color w:val="1B2A33"/>
          <w:sz w:val="21"/>
          <w:szCs w:val="21"/>
        </w:rPr>
        <w:t xml:space="preserve">(4) Ausschuss Recht, Verträge &amp; Compliance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Genehmigungen, Behördenkontakte (u. a. Gesundheitsamt, Bauamt), Brandschutz;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Versicherungen (z. B. Badischer Gemeindeversicherungsverband), Datenschutz;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Prüfung und Verwaltung der Verträge.</w:t>
      </w:r>
    </w:p>
    <w:p>
      <w:pPr>
        <w:keepNext/>
        <w:spacing w:after="40" w:before="120"/>
      </w:pPr>
      <w:r>
        <w:rPr>
          <w:b/>
          <w:bCs/>
          <w:color w:val="1B2A33"/>
          <w:sz w:val="21"/>
          <w:szCs w:val="21"/>
        </w:rPr>
        <w:t xml:space="preserve">(5) Ausschuss Mitglieder &amp; Kommunikation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Mitgliederverwaltung, Aufnahme, Beiträge;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Koordination der Bahnenzeiten und Nutzergruppen;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Öffentlichkeitsarbeit, Website, Kontakt zu Vereinen und Schulen.</w:t>
      </w:r>
    </w:p>
    <w:p>
      <w:pPr>
        <w:spacing w:after="120" w:before="40"/>
      </w:pPr>
      <w:r>
        <w:rPr>
          <w:i/>
          <w:iCs/>
          <w:color w:val="6B7A82"/>
          <w:sz w:val="19"/>
          <w:szCs w:val="19"/>
        </w:rPr>
        <w:t xml:space="preserve">Fünf Ausschüsse entsprechen der bestehenden Rollenaufteilung im Team. Zuschnitt und Anzahl kann der Vorstand jederzeit anpassen – deshalb hier und nicht in der Satzung.</w:t>
      </w:r>
    </w:p>
    <w:p>
      <w:pPr>
        <w:keepNext/>
        <w:spacing w:after="60" w:before="200"/>
      </w:pPr>
      <w:r>
        <w:rPr>
          <w:b/>
          <w:bCs/>
          <w:color w:val="0A5173"/>
          <w:sz w:val="23"/>
          <w:szCs w:val="23"/>
        </w:rPr>
        <w:t xml:space="preserve">§ 6 Zeichnungs- und Vertretungsregelung</w:t>
      </w:r>
    </w:p>
    <w:p>
      <w:pPr>
        <w:spacing w:after="80"/>
      </w:pPr>
      <w:r>
        <w:rPr>
          <w:sz w:val="21"/>
          <w:szCs w:val="21"/>
        </w:rPr>
        <w:t xml:space="preserve">(1) Der Verein wird nach § 11 Abs. 2 der Satzung durch zwei Vorstandsmitglieder gemeinsam vertreten. Zur Entlastung des laufenden Betriebs erteilt der Vorstand für Geschäfte des täglichen Bedarfs Vollmachten nach Maßgabe der folgenden Wertgrenzen:</w:t>
      </w:r>
    </w:p>
    <w:tbl>
      <w:tblPr>
        <w:tblW w:type="dxa" w:w="8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2786"/>
      </w:tblGrid>
      <w:tr>
        <w:tc>
          <w:tcPr>
            <w:tcW w:type="dxa" w:w="1700"/>
            <w:shd w:fill="0A51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Betrag (Einzelfall, brutto)</w:t>
            </w:r>
          </w:p>
        </w:tc>
        <w:tc>
          <w:tcPr>
            <w:tcW w:type="dxa" w:w="4300"/>
            <w:shd w:fill="0A51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Wer beauftragt / zeichnet</w:t>
            </w:r>
          </w:p>
        </w:tc>
        <w:tc>
          <w:tcPr>
            <w:tcW w:type="dxa" w:w="2786"/>
            <w:shd w:fill="0A51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Voraussetzung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A33"/>
                <w:sz w:val="19"/>
                <w:szCs w:val="19"/>
              </w:rPr>
              <w:t xml:space="preserve">bis 500 €</w:t>
            </w:r>
          </w:p>
        </w:tc>
        <w:tc>
          <w:tcPr>
            <w:tcW w:type="dxa" w:w="4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A33"/>
                <w:sz w:val="19"/>
                <w:szCs w:val="19"/>
              </w:rPr>
              <w:t xml:space="preserve">Beauftragte Person bzw. Ausschussleitung im jeweiligen Ressort (per Vollmacht)</w:t>
            </w:r>
          </w:p>
        </w:tc>
        <w:tc>
          <w:tcPr>
            <w:tcW w:type="dxa" w:w="278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A33"/>
                <w:sz w:val="19"/>
                <w:szCs w:val="19"/>
              </w:rPr>
              <w:t xml:space="preserve">im Rahmen des beschlossenen Haushaltsplans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A33"/>
                <w:sz w:val="19"/>
                <w:szCs w:val="19"/>
              </w:rPr>
              <w:t xml:space="preserve">bis 2.500 €</w:t>
            </w:r>
          </w:p>
        </w:tc>
        <w:tc>
          <w:tcPr>
            <w:tcW w:type="dxa" w:w="4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A33"/>
                <w:sz w:val="19"/>
                <w:szCs w:val="19"/>
              </w:rPr>
              <w:t xml:space="preserve">ressortzuständiges Vorstandsmitglied (per Vollmacht)</w:t>
            </w:r>
          </w:p>
        </w:tc>
        <w:tc>
          <w:tcPr>
            <w:tcW w:type="dxa" w:w="278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A33"/>
                <w:sz w:val="19"/>
                <w:szCs w:val="19"/>
              </w:rPr>
              <w:t xml:space="preserve">im Rahmen des Haushaltsplans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A33"/>
                <w:sz w:val="19"/>
                <w:szCs w:val="19"/>
              </w:rPr>
              <w:t xml:space="preserve">bis 10.000 €</w:t>
            </w:r>
          </w:p>
        </w:tc>
        <w:tc>
          <w:tcPr>
            <w:tcW w:type="dxa" w:w="4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A33"/>
                <w:sz w:val="19"/>
                <w:szCs w:val="19"/>
              </w:rPr>
              <w:t xml:space="preserve">zwei Vorstandsmitglieder gemeinsam (Vertretung nach § 11 Abs. 2 der Satzung)</w:t>
            </w:r>
          </w:p>
        </w:tc>
        <w:tc>
          <w:tcPr>
            <w:tcW w:type="dxa" w:w="278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A33"/>
                <w:sz w:val="19"/>
                <w:szCs w:val="19"/>
              </w:rPr>
              <w:t xml:space="preserve">im Rahmen des Haushaltsplans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A33"/>
                <w:sz w:val="19"/>
                <w:szCs w:val="19"/>
              </w:rPr>
              <w:t xml:space="preserve">über 10.000 €</w:t>
            </w:r>
          </w:p>
        </w:tc>
        <w:tc>
          <w:tcPr>
            <w:tcW w:type="dxa" w:w="4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A33"/>
                <w:sz w:val="19"/>
                <w:szCs w:val="19"/>
              </w:rPr>
              <w:t xml:space="preserve">zwei Vorstandsmitglieder gemeinsam</w:t>
            </w:r>
          </w:p>
        </w:tc>
        <w:tc>
          <w:tcPr>
            <w:tcW w:type="dxa" w:w="278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B2A33"/>
                <w:sz w:val="19"/>
                <w:szCs w:val="19"/>
              </w:rPr>
              <w:t xml:space="preserve">nur nach vorherigem Vorstandsbeschluss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80"/>
      </w:pPr>
      <w:r>
        <w:rPr>
          <w:sz w:val="21"/>
          <w:szCs w:val="21"/>
        </w:rPr>
        <w:t xml:space="preserve">(2) Unabhängig vom Betrag bedürfen folgende Geschäfte stets eines vorherigen Vorstandsbeschlusses: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Dauerschuldverhältnisse mit einer Laufzeit über zwölf Monate;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Arbeits- und Dienstverträge sowie deren Änderung;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Darlehen, Kredite, Bürgschaften und sonstige Sicherheiten;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Miet-, Pacht- und Grundstücksangelegenheiten (insbesondere der Pachtvertrag mit der Stadt);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über- und außerplanmäßige Ausgaben, die im Haushaltsplan nicht vorgesehen sind.</w:t>
      </w:r>
    </w:p>
    <w:p>
      <w:pPr>
        <w:spacing w:after="80"/>
      </w:pPr>
      <w:r>
        <w:rPr>
          <w:sz w:val="21"/>
          <w:szCs w:val="21"/>
        </w:rPr>
        <w:t xml:space="preserve">(3) Die Wertgrenzen beziehen sich auf den Einzelfall (Bruttobetrag). Eine künstliche Aufteilung eines Geschäfts in mehrere Teilbeträge, um eine Grenze zu unterschreiten, ist unzulässig.</w:t>
      </w:r>
    </w:p>
    <w:p>
      <w:pPr>
        <w:spacing w:after="80"/>
      </w:pPr>
      <w:r>
        <w:rPr>
          <w:sz w:val="21"/>
          <w:szCs w:val="21"/>
        </w:rPr>
        <w:t xml:space="preserve">(4) Vollmachten werden in Textform erteilt und sind jederzeit widerruflich. Sie enden mit dem Ausscheiden der bevollmächtigten Person aus ihrer Funktion.</w:t>
      </w:r>
    </w:p>
    <w:p>
      <w:pPr>
        <w:spacing w:after="120" w:before="40"/>
      </w:pPr>
      <w:r>
        <w:rPr>
          <w:i/>
          <w:iCs/>
          <w:color w:val="6B7A82"/>
          <w:sz w:val="19"/>
          <w:szCs w:val="19"/>
        </w:rPr>
        <w:t xml:space="preserve">Rechtlicher Hinweis: Die Wertgrenzen wirken im Innenverhältnis. Überschreitet eine bevollmächtigte Person ihre interne Befugnis, kann der Verein gegenüber einem gutgläubigen Dritten dennoch gebunden sein; im Innenverhältnis macht sie sich aber ersatzpflichtig. Deshalb Betragsgrenze in jede erteilte Vollmacht schreiben.</w:t>
      </w:r>
    </w:p>
    <w:p>
      <w:pPr>
        <w:keepNext/>
        <w:spacing w:after="60" w:before="200"/>
      </w:pPr>
      <w:r>
        <w:rPr>
          <w:b/>
          <w:bCs/>
          <w:color w:val="0A5173"/>
          <w:sz w:val="23"/>
          <w:szCs w:val="23"/>
        </w:rPr>
        <w:t xml:space="preserve">§ 7 Beschaffung und Rechnungsfreigabe</w:t>
      </w:r>
    </w:p>
    <w:p>
      <w:pPr>
        <w:spacing w:after="80"/>
      </w:pPr>
      <w:r>
        <w:rPr>
          <w:sz w:val="21"/>
          <w:szCs w:val="21"/>
        </w:rPr>
        <w:t xml:space="preserve">(1) Ausgaben sind nur im Rahmen des beschlossenen Haushaltsplans zulässig.</w:t>
      </w:r>
    </w:p>
    <w:p>
      <w:pPr>
        <w:spacing w:after="80"/>
      </w:pPr>
      <w:r>
        <w:rPr>
          <w:sz w:val="21"/>
          <w:szCs w:val="21"/>
        </w:rPr>
        <w:t xml:space="preserve">(2) Rechnungen ab [1.000 €] werden nach dem Vier-Augen-Prinzip freigegeben: durch das ressortzuständige Vorstandsmitglied und den/die Schatzmeister/in.</w:t>
      </w:r>
    </w:p>
    <w:p>
      <w:pPr>
        <w:spacing w:after="80"/>
      </w:pPr>
      <w:r>
        <w:rPr>
          <w:sz w:val="21"/>
          <w:szCs w:val="21"/>
        </w:rPr>
        <w:t xml:space="preserve">(3) Der/die Schatzmeister/in führt eine laufende Übersicht über Einnahmen, Ausgaben und offene Verpflichtungen und berichtet dem Vorstand regelmäßig.</w:t>
      </w:r>
    </w:p>
    <w:p>
      <w:pPr>
        <w:keepNext/>
        <w:spacing w:after="60" w:before="200"/>
      </w:pPr>
      <w:r>
        <w:rPr>
          <w:b/>
          <w:bCs/>
          <w:color w:val="0A5173"/>
          <w:sz w:val="23"/>
          <w:szCs w:val="23"/>
        </w:rPr>
        <w:t xml:space="preserve">§ 8 Beauftragte und Vollmachten</w:t>
      </w:r>
    </w:p>
    <w:p>
      <w:pPr>
        <w:spacing w:after="80"/>
      </w:pPr>
      <w:r>
        <w:rPr>
          <w:sz w:val="21"/>
          <w:szCs w:val="21"/>
        </w:rPr>
        <w:t xml:space="preserve">(1) Der Vorstand kann einzelne Aufgaben an Beauftragte übertragen (z. B. Kontraktorenmanagement, Belegungskoordination) und ihnen dafür Vollmachten nach § 6 erteilen.</w:t>
      </w:r>
    </w:p>
    <w:p>
      <w:pPr>
        <w:spacing w:after="80"/>
      </w:pPr>
      <w:r>
        <w:rPr>
          <w:sz w:val="21"/>
          <w:szCs w:val="21"/>
        </w:rPr>
        <w:t xml:space="preserve">(2) Soll eine Person den Verein dauerhaft und eigenständig für einen ganzen Geschäftsbereich vertreten, ist stattdessen die Bestellung als besonderer Vertreter nach § 30 BGB zu prüfen; diese setzt eine entsprechende Satzungsgrundlage und einen Registereintrag voraus.</w:t>
      </w:r>
    </w:p>
    <w:p>
      <w:pPr>
        <w:spacing w:after="120" w:before="40"/>
      </w:pPr>
      <w:r>
        <w:rPr>
          <w:i/>
          <w:iCs/>
          <w:color w:val="6B7A82"/>
          <w:sz w:val="19"/>
          <w:szCs w:val="19"/>
        </w:rPr>
        <w:t xml:space="preserve">Für den Anfang reicht die Vollmachtslösung nach § 6/§ 8 Abs. 1. Ein besonderer Vertreter (§ 30 BGB) ist nur nötig, wenn diese Person auch oberhalb der Wertgrenzen und für Dritte nachweisbar allein zeichnen soll.</w:t>
      </w:r>
    </w:p>
    <w:p>
      <w:pPr>
        <w:keepNext/>
        <w:spacing w:after="60" w:before="200"/>
      </w:pPr>
      <w:r>
        <w:rPr>
          <w:b/>
          <w:bCs/>
          <w:color w:val="0A5173"/>
          <w:sz w:val="23"/>
          <w:szCs w:val="23"/>
        </w:rPr>
        <w:t xml:space="preserve">§ 9 Inkrafttreten und Änderungen</w:t>
      </w:r>
    </w:p>
    <w:p>
      <w:pPr>
        <w:spacing w:after="80"/>
      </w:pPr>
      <w:r>
        <w:rPr>
          <w:sz w:val="21"/>
          <w:szCs w:val="21"/>
        </w:rPr>
        <w:t xml:space="preserve">(1) Diese Geschäftsordnung tritt mit Beschluss des Vorstandes am [Datum] in Kraft.</w:t>
      </w:r>
    </w:p>
    <w:p>
      <w:pPr>
        <w:spacing w:after="80"/>
      </w:pPr>
      <w:r>
        <w:rPr>
          <w:sz w:val="21"/>
          <w:szCs w:val="21"/>
        </w:rPr>
        <w:t xml:space="preserve">(2) Änderungen beschließt der Vorstand mit einfacher Mehrheit.</w:t>
      </w:r>
    </w:p>
    <w:p>
      <w:pPr>
        <w:keepNext/>
        <w:spacing w:after="60" w:before="200"/>
      </w:pPr>
      <w:r>
        <w:rPr>
          <w:b/>
          <w:bCs/>
          <w:color w:val="0A5173"/>
          <w:sz w:val="23"/>
          <w:szCs w:val="23"/>
        </w:rPr>
        <w:t xml:space="preserve">Offene Festlegungen (vom Vorstand zu beschließen)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Wertgrenzen in § 6 (Vorschlag: 500 / 2.500 / 10.000 €) und Rechnungsfreigabe-Schwelle in § 7.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Sitzungsturnus und Einladungsfrist (§ 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Ressort- und Ausschusszuordnung der einzelnen Vorstandsmitglieder (§ 2).</w:t>
      </w:r>
    </w:p>
    <w:sectPr>
      <w:pgSz w:w="11906" w:h="16838" w:orient="portrait"/>
      <w:pgMar w:top="1440" w:right="1560" w:bottom="144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2026-09-15T10:37:04.994Z</dcterms:created>
  <dcterms:modified xsi:type="dcterms:W3CDTF">2026-09-15T10:37:05.004Z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