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A5173"/>
          <w:sz w:val="30"/>
          <w:szCs w:val="30"/>
        </w:rPr>
        <w:t xml:space="preserve">Pachtvertrag Hallenbad Seckenheim – mit eingearbeiteten Kommentaren</w:t>
      </w:r>
    </w:p>
    <w:p>
      <w:pPr>
        <w:spacing w:after="60"/>
      </w:pPr>
      <w:r>
        <w:rPr>
          <w:i/>
          <w:iCs/>
          <w:color w:val="6B7A82"/>
          <w:sz w:val="19"/>
          <w:szCs w:val="19"/>
        </w:rPr>
        <w:t xml:space="preserve">Grundlage: Pachtvertrag Stadt Mannheim / Schwimmverein Mannheim e. V. vom 21.06.2013 (Blaupause der Stadt), Text aus dem Scan bereinigt. Stand 29.09.2026.</w:t>
      </w:r>
    </w:p>
    <w:p>
      <w:pPr>
        <w:pBdr>
          <w:top w:val="single" w:color="C00000" w:sz="6"/>
          <w:bottom w:val="single" w:color="C00000" w:sz="6"/>
          <w:left w:val="single" w:color="C00000" w:sz="6"/>
          <w:right w:val="single" w:color="C00000" w:sz="6"/>
        </w:pBdr>
        <w:shd w:fill="FCEEEC" w:val="clear"/>
        <w:spacing w:after="160"/>
      </w:pPr>
      <w:r>
        <w:rPr>
          <w:i/>
          <w:iCs/>
          <w:color w:val="7A1A16"/>
          <w:sz w:val="19"/>
          <w:szCs w:val="19"/>
        </w:rPr>
        <w:t xml:space="preserve">Rote Kursivtexte („→ Sportbad“) sind unsere Kommentare und Formulierungsvorschläge, direkt an der jeweiligen Stelle eingefügt – zur internen Durchsprache. Kein anwaltlicher Rat.</w:t>
      </w:r>
    </w:p>
    <w:p>
      <w:pPr>
        <w:keepNext/>
        <w:spacing w:after="50" w:before="200"/>
      </w:pPr>
      <w:r>
        <w:rPr>
          <w:b/>
          <w:bCs/>
          <w:color w:val="0A5173"/>
          <w:sz w:val="24"/>
          <w:szCs w:val="24"/>
        </w:rPr>
        <w:t xml:space="preserve">§ 1 Vertragsgegenstand</w:t>
      </w:r>
    </w:p>
    <w:p>
      <w:pPr>
        <w:spacing w:after="40"/>
      </w:pPr>
      <w:r>
        <w:rPr>
          <w:color w:val="1B2A33"/>
          <w:sz w:val="20"/>
          <w:szCs w:val="20"/>
        </w:rPr>
        <w:t xml:space="preserve">(1) Die Stadt verpachtet dem Verein das Hallenbad Seckenheim, Flst.-Nr. [•], zur sportlichen und satzungsgemäßen Nutzung sowie die festgelegten Außenflächen/Zugangswege und die gekennzeichneten Parkplatzflächen (Übersichtsplan, Anlage 1).</w:t>
      </w:r>
    </w:p>
    <w:p>
      <w:pPr>
        <w:spacing w:after="70"/>
        <w:ind w:left="340"/>
      </w:pPr>
      <w:r>
        <w:rPr>
          <w:b/>
          <w:bCs/>
          <w:i/>
          <w:iCs/>
          <w:color w:val="C00000"/>
          <w:sz w:val="19"/>
          <w:szCs w:val="19"/>
        </w:rPr>
        <w:t xml:space="preserve">→ Sportbad: </w:t>
      </w:r>
      <w:r>
        <w:rPr>
          <w:i/>
          <w:iCs/>
          <w:color w:val="C00000"/>
          <w:sz w:val="19"/>
          <w:szCs w:val="19"/>
        </w:rPr>
        <w:t xml:space="preserve">Flst.-Nr. und Flächen (Anlage 1) prüfen; die mit der Schule geteilten Verkehrswege gesondert regeln (Reinigung/Instandhaltung ggf. über FB Bildung).</w:t>
      </w:r>
    </w:p>
    <w:p>
      <w:pPr>
        <w:spacing w:after="40"/>
      </w:pPr>
      <w:r>
        <w:rPr>
          <w:color w:val="1B2A33"/>
          <w:sz w:val="20"/>
          <w:szCs w:val="20"/>
        </w:rPr>
        <w:t xml:space="preserve">(2) Die Stadt überlässt dem Verein das Bewirtschaftungs- und Werberecht innerhalb des Vertragsgegenstandes.</w:t>
      </w:r>
    </w:p>
    <w:p>
      <w:pPr>
        <w:spacing w:after="40"/>
      </w:pPr>
      <w:r>
        <w:rPr>
          <w:color w:val="1B2A33"/>
          <w:sz w:val="20"/>
          <w:szCs w:val="20"/>
        </w:rPr>
        <w:t xml:space="preserve">(3) Etwaige öffentlich-rechtliche Genehmigungen bleiben hiervon unberührt.</w:t>
      </w:r>
    </w:p>
    <w:p>
      <w:pPr>
        <w:spacing w:after="70"/>
        <w:ind w:left="340"/>
      </w:pPr>
      <w:r>
        <w:rPr>
          <w:b/>
          <w:bCs/>
          <w:i/>
          <w:iCs/>
          <w:color w:val="C00000"/>
          <w:sz w:val="19"/>
          <w:szCs w:val="19"/>
        </w:rPr>
        <w:t xml:space="preserve">→ Sportbad: </w:t>
      </w:r>
      <w:r>
        <w:rPr>
          <w:i/>
          <w:iCs/>
          <w:color w:val="C00000"/>
          <w:sz w:val="19"/>
          <w:szCs w:val="19"/>
        </w:rPr>
        <w:t xml:space="preserve">Strategisch wichtig: die Betriebsgenehmigung darf nicht erlöschen. Klarstellen, dass die Stadt den Betrieb im genehmigten Bestand übergibt und Übergabe/Umbauten keine Neugenehmigung (Brandschutz/Lüftung auf Neubaustand) auslösen.</w:t>
      </w:r>
    </w:p>
    <w:p>
      <w:pPr>
        <w:keepNext/>
        <w:spacing w:after="50" w:before="200"/>
      </w:pPr>
      <w:r>
        <w:rPr>
          <w:b/>
          <w:bCs/>
          <w:color w:val="0A5173"/>
          <w:sz w:val="24"/>
          <w:szCs w:val="24"/>
        </w:rPr>
        <w:t xml:space="preserve">§ 2 Vertragsdauer</w:t>
      </w:r>
    </w:p>
    <w:p>
      <w:pPr>
        <w:spacing w:after="40"/>
      </w:pPr>
      <w:r>
        <w:rPr>
          <w:color w:val="1B2A33"/>
          <w:sz w:val="20"/>
          <w:szCs w:val="20"/>
        </w:rPr>
        <w:t xml:space="preserve">(1) Das Vertragsverhältnis beginnt am [•] und endet am [•].</w:t>
      </w:r>
    </w:p>
    <w:p>
      <w:pPr>
        <w:spacing w:after="70"/>
        <w:ind w:left="340"/>
      </w:pPr>
      <w:r>
        <w:rPr>
          <w:b/>
          <w:bCs/>
          <w:i/>
          <w:iCs/>
          <w:color w:val="C00000"/>
          <w:sz w:val="19"/>
          <w:szCs w:val="19"/>
        </w:rPr>
        <w:t xml:space="preserve">→ Sportbad: </w:t>
      </w:r>
      <w:r>
        <w:rPr>
          <w:b/>
          <w:bCs/>
          <w:i/>
          <w:iCs/>
          <w:color w:val="C00000"/>
          <w:sz w:val="19"/>
          <w:szCs w:val="19"/>
        </w:rPr>
        <w:t xml:space="preserve">Vorschlag – </w:t>
      </w:r>
      <w:r>
        <w:rPr>
          <w:i/>
          <w:iCs/>
          <w:color w:val="C00000"/>
          <w:sz w:val="19"/>
          <w:szCs w:val="19"/>
        </w:rPr>
        <w:t xml:space="preserve">Beginn 01.01.2027 (Inbetriebnahme 01.02.2027). Zusätzlich eine feste Mindestlaufzeit/Bestandsschutz von ~5 Jahren, damit sich unsere Investitionen (Technik, Dach, Duschen) amortisieren.</w:t>
      </w:r>
    </w:p>
    <w:p>
      <w:pPr>
        <w:spacing w:after="70"/>
        <w:ind w:left="340"/>
      </w:pPr>
      <w:r>
        <w:rPr>
          <w:b/>
          <w:bCs/>
          <w:i/>
          <w:iCs/>
          <w:color w:val="C00000"/>
          <w:sz w:val="19"/>
          <w:szCs w:val="19"/>
        </w:rPr>
        <w:t xml:space="preserve">→ Sportbad: </w:t>
      </w:r>
      <w:r>
        <w:rPr>
          <w:i/>
          <w:iCs/>
          <w:color w:val="C00000"/>
          <w:sz w:val="19"/>
          <w:szCs w:val="19"/>
        </w:rPr>
        <w:t xml:space="preserve">Kernbedingung: Bindung nur aufschiebend bedingt auf (a) gesicherte Vorfinanzierung des ersten Jahres und (b) bestandene Bausubstanzprüfung (~4–6 Wochen) – als Bedingung bzw. Rücktrittsrecht aufnehmen.</w:t>
      </w:r>
    </w:p>
    <w:p>
      <w:pPr>
        <w:spacing w:after="40"/>
      </w:pPr>
      <w:r>
        <w:rPr>
          <w:color w:val="1B2A33"/>
          <w:sz w:val="20"/>
          <w:szCs w:val="20"/>
        </w:rPr>
        <w:t xml:space="preserve">(2) Die fristlose Kündigung aus wichtigem Grund ist beiderseits zulässig. Ein wichtiger Grund liegt insbesondere vor, wenn: grobe Verstöße gegen den Vertrag vorliegen; der Stadt baupolizeiliche Auflagen gemacht werden, deren Erfüllung ihr wirtschaftlich nicht zumutbar ist; dem Verein solche Auflagen wirtschaftlich nicht zumutbar sind; ein erheblicher baulicher Schaden (z. B. Elementarschaden, Brand, Notstand) eintritt; die Vertragssache für vordringliche öffentliche Zwecke benötigt wird; der Verein bauliche Anlagen ohne erforderliche Genehmigung errichtet; der Verein Reparaturen erbringen müsste, die seine finanzielle Leistungskraft übersteigen; der Verein zahlungsunfähig oder überschuldet wird bzw. das Insolvenzverfahren eröffnet oder mangels Masse abgelehnt wird; die Stadt vertraglich geregelte Zuschüsse nicht erbringt.</w:t>
      </w:r>
    </w:p>
    <w:p>
      <w:pPr>
        <w:spacing w:after="70"/>
        <w:ind w:left="340"/>
      </w:pPr>
      <w:r>
        <w:rPr>
          <w:b/>
          <w:bCs/>
          <w:i/>
          <w:iCs/>
          <w:color w:val="C00000"/>
          <w:sz w:val="19"/>
          <w:szCs w:val="19"/>
        </w:rPr>
        <w:t xml:space="preserve">→ Sportbad: </w:t>
      </w:r>
      <w:r>
        <w:rPr>
          <w:b/>
          <w:bCs/>
          <w:i/>
          <w:iCs/>
          <w:color w:val="C00000"/>
          <w:sz w:val="19"/>
          <w:szCs w:val="19"/>
        </w:rPr>
        <w:t xml:space="preserve">Vorschlag – </w:t>
      </w:r>
      <w:r>
        <w:rPr>
          <w:i/>
          <w:iCs/>
          <w:color w:val="C00000"/>
          <w:sz w:val="19"/>
          <w:szCs w:val="19"/>
        </w:rPr>
        <w:t xml:space="preserve">„Vertragssache für vordringliche öffentliche Zwecke benötigt“ = der Mensa-Ausstieg der Stadt. Diesen Fall aus der fristlosen Kündigung herausnehmen und durch eine planbare Ankündigungsfrist ersetzen: 5 Jahre gesichert, danach Kündigung der Stadt nur mit mindestens 12 Monaten Ankündigung. Fristlos ist hier für uns nicht tragbar.</w:t>
      </w:r>
    </w:p>
    <w:p>
      <w:pPr>
        <w:spacing w:after="70"/>
        <w:ind w:left="340"/>
      </w:pPr>
      <w:r>
        <w:rPr>
          <w:b/>
          <w:bCs/>
          <w:i/>
          <w:iCs/>
          <w:color w:val="C00000"/>
          <w:sz w:val="19"/>
          <w:szCs w:val="19"/>
        </w:rPr>
        <w:t xml:space="preserve">→ Sportbad: </w:t>
      </w:r>
      <w:r>
        <w:rPr>
          <w:i/>
          <w:iCs/>
          <w:color w:val="C00000"/>
          <w:sz w:val="19"/>
          <w:szCs w:val="19"/>
        </w:rPr>
        <w:t xml:space="preserve">Für den Verein ein leichteres eigenes Kündigungsrecht ergänzen (ordentliche/Sonderkündigung, z. B. 6–12 Monate), weil das Ehrenamt das Betreiberrisiko nur begrenzt tragen kann. Der Grund „Reparaturen über die Leistungskraft“ geht in die richtige Richtung – als echtes Ausstiegsrecht ausformulieren.</w:t>
      </w:r>
    </w:p>
    <w:p>
      <w:pPr>
        <w:spacing w:after="70"/>
        <w:ind w:left="340"/>
      </w:pPr>
      <w:r>
        <w:rPr>
          <w:b/>
          <w:bCs/>
          <w:i/>
          <w:iCs/>
          <w:color w:val="C00000"/>
          <w:sz w:val="19"/>
          <w:szCs w:val="19"/>
        </w:rPr>
        <w:t xml:space="preserve">→ Sportbad: </w:t>
      </w:r>
      <w:r>
        <w:rPr>
          <w:i/>
          <w:iCs/>
          <w:color w:val="C00000"/>
          <w:sz w:val="19"/>
          <w:szCs w:val="19"/>
        </w:rPr>
        <w:t xml:space="preserve">Der Insolvenz-Kündigungsgrund verweist auf die Insolvenzantragspflicht des Vorstands (§ 42 BGB) – Liquidität eng führen.</w:t>
      </w:r>
    </w:p>
    <w:p>
      <w:pPr>
        <w:keepNext/>
        <w:spacing w:after="50" w:before="200"/>
      </w:pPr>
      <w:r>
        <w:rPr>
          <w:b/>
          <w:bCs/>
          <w:color w:val="0A5173"/>
          <w:sz w:val="24"/>
          <w:szCs w:val="24"/>
        </w:rPr>
        <w:t xml:space="preserve">§ 3 Pachtzins / Zuschuss der Stadt</w:t>
      </w:r>
    </w:p>
    <w:p>
      <w:pPr>
        <w:spacing w:after="40"/>
      </w:pPr>
      <w:r>
        <w:rPr>
          <w:color w:val="1B2A33"/>
          <w:sz w:val="20"/>
          <w:szCs w:val="20"/>
        </w:rPr>
        <w:t xml:space="preserve">(1) Der Pachtwert des Vertragsgegenstandes beträgt [•] €/Monat bzw. [•] €/Jahr.</w:t>
      </w:r>
    </w:p>
    <w:p>
      <w:pPr>
        <w:spacing w:after="40"/>
      </w:pPr>
      <w:r>
        <w:rPr>
          <w:color w:val="1B2A33"/>
          <w:sz w:val="20"/>
          <w:szCs w:val="20"/>
        </w:rPr>
        <w:t xml:space="preserve">(2) Der Vertragsgegenstand wird dem Verein jedoch pachtzinsfrei überlassen.</w:t>
      </w:r>
    </w:p>
    <w:p>
      <w:pPr>
        <w:spacing w:after="70"/>
        <w:ind w:left="340"/>
      </w:pPr>
      <w:r>
        <w:rPr>
          <w:b/>
          <w:bCs/>
          <w:i/>
          <w:iCs/>
          <w:color w:val="C00000"/>
          <w:sz w:val="19"/>
          <w:szCs w:val="19"/>
        </w:rPr>
        <w:t xml:space="preserve">→ Sportbad: </w:t>
      </w:r>
      <w:r>
        <w:rPr>
          <w:i/>
          <w:iCs/>
          <w:color w:val="C00000"/>
          <w:sz w:val="19"/>
          <w:szCs w:val="19"/>
        </w:rPr>
        <w:t xml:space="preserve">Aktuelles Angebot der Stadt (29.09.2026): Jahr 1 pachtfrei, Jahr 2 500 €/Monat (6.000 €), Jahre 3–5 je 1.000 €/Monat (12.000 €) – zusammen 42.000 € über 5 Jahre. Die Staffel mit Anlaufschonung ist moderat und vom Prinzip her fair.</w:t>
      </w:r>
    </w:p>
    <w:p>
      <w:pPr>
        <w:spacing w:after="70"/>
        <w:ind w:left="340"/>
      </w:pPr>
      <w:r>
        <w:rPr>
          <w:b/>
          <w:bCs/>
          <w:i/>
          <w:iCs/>
          <w:color w:val="C00000"/>
          <w:sz w:val="19"/>
          <w:szCs w:val="19"/>
        </w:rPr>
        <w:t xml:space="preserve">→ Sportbad: </w:t>
      </w:r>
      <w:r>
        <w:rPr>
          <w:i/>
          <w:iCs/>
          <w:color w:val="C00000"/>
          <w:sz w:val="19"/>
          <w:szCs w:val="19"/>
        </w:rPr>
        <w:t xml:space="preserve">Aber: Eine feste Pacht ist ein Fixkostenblock in einer dünnen Marge (Betriebskosten ~243.000 € vs. Erlöse ~283.000 €, davon geht schon viel in die Investitionsrücklage). In einem schwachen Jahr trifft sie genau dann, wenn wir sie am wenigsten haben. Und wir finanzieren die Sanierung des städtischen Gebäudes ohnehin selbst und ersparen der Stadt ihren Zuschuss (~123.000 €/Jahr) plus die Schließungskosten.</w:t>
      </w:r>
    </w:p>
    <w:p>
      <w:pPr>
        <w:spacing w:after="70"/>
        <w:ind w:left="340"/>
      </w:pPr>
      <w:r>
        <w:rPr>
          <w:b/>
          <w:bCs/>
          <w:i/>
          <w:iCs/>
          <w:color w:val="C00000"/>
          <w:sz w:val="19"/>
          <w:szCs w:val="19"/>
        </w:rPr>
        <w:t xml:space="preserve">→ Sportbad: </w:t>
      </w:r>
      <w:r>
        <w:rPr>
          <w:b/>
          <w:bCs/>
          <w:i/>
          <w:iCs/>
          <w:color w:val="C00000"/>
          <w:sz w:val="19"/>
          <w:szCs w:val="19"/>
        </w:rPr>
        <w:t xml:space="preserve">Vorschlag – </w:t>
      </w:r>
      <w:r>
        <w:rPr>
          <w:i/>
          <w:iCs/>
          <w:color w:val="C00000"/>
          <w:sz w:val="19"/>
          <w:szCs w:val="19"/>
        </w:rPr>
        <w:t xml:space="preserve">Gegenvorschlag „Sockel + Überschussbeteiligung“: Die Staffel der Stadt gilt als jährliche Obergrenze. Die tatsächlich fällige Jahrespacht ist der niedrigere Betrag aus (a) dieser Staffel und (b) 50 % des verfügbaren Überschusses. Verfügbarer Überschuss = Jahreseinnahmen − Betriebs-/Nebenkosten (§ 3 Abs. 3) − vereinbarte Mindest-Investitionsrücklage von [25.000] €. Ist der verfügbare Überschuss null oder negativ, beträgt die Pacht 0 € (keine Stundung, keine Nachzahlung). Maßgeblich ist der von der Mitgliederversammlung beschlossene Jahresabschluss.</w:t>
      </w:r>
    </w:p>
    <w:p>
      <w:pPr>
        <w:spacing w:after="70"/>
        <w:ind w:left="340"/>
      </w:pPr>
      <w:r>
        <w:rPr>
          <w:b/>
          <w:bCs/>
          <w:i/>
          <w:iCs/>
          <w:color w:val="C00000"/>
          <w:sz w:val="19"/>
          <w:szCs w:val="19"/>
        </w:rPr>
        <w:t xml:space="preserve">→ Sportbad: </w:t>
      </w:r>
      <w:r>
        <w:rPr>
          <w:i/>
          <w:iCs/>
          <w:color w:val="C00000"/>
          <w:sz w:val="19"/>
          <w:szCs w:val="19"/>
        </w:rPr>
        <w:t xml:space="preserve">Wirkung (Beispiele): Normaljahr ~40.000 € Rohüberschuss − 25.000 € Rücklage = 15.000 € → 50 % = 7.500 € Pacht (unter der Staffel). Schwaches Jahr → 0 €. Gutes Jahr → gedeckelt auf die Staffel (max. 12.000 €). Die Stadt bekommt mehr bei Überschuss, null bei Deckungslücke – nie mehr als ihre eigene Staffel.</w:t>
      </w:r>
    </w:p>
    <w:p>
      <w:pPr>
        <w:spacing w:after="70"/>
        <w:ind w:left="340"/>
      </w:pPr>
      <w:r>
        <w:rPr>
          <w:b/>
          <w:bCs/>
          <w:i/>
          <w:iCs/>
          <w:color w:val="C00000"/>
          <w:sz w:val="19"/>
          <w:szCs w:val="19"/>
        </w:rPr>
        <w:t xml:space="preserve">→ Sportbad: </w:t>
      </w:r>
      <w:r>
        <w:rPr>
          <w:i/>
          <w:iCs/>
          <w:color w:val="C00000"/>
          <w:sz w:val="19"/>
          <w:szCs w:val="19"/>
        </w:rPr>
        <w:t xml:space="preserve">Alternativ oder ergänzend (eigentlicher Fairness-Hebel): Bauguthaben-Anrechnung – nachgewiesene Investitionen in die Substanz (Dach, Statik, Technik), die über die Vertragslaufzeit hinaus dem Gebäude erhalten bleiben, mindern die Pacht 1:1. Einfacher prüfbar als eine Überschussrechnung.</w:t>
      </w:r>
    </w:p>
    <w:p>
      <w:pPr>
        <w:spacing w:after="70"/>
        <w:ind w:left="340"/>
      </w:pPr>
      <w:r>
        <w:rPr>
          <w:b/>
          <w:bCs/>
          <w:i/>
          <w:iCs/>
          <w:color w:val="C00000"/>
          <w:sz w:val="19"/>
          <w:szCs w:val="19"/>
        </w:rPr>
        <w:t xml:space="preserve">→ Sportbad: </w:t>
      </w:r>
      <w:r>
        <w:rPr>
          <w:i/>
          <w:iCs/>
          <w:color w:val="C00000"/>
          <w:sz w:val="19"/>
          <w:szCs w:val="19"/>
        </w:rPr>
        <w:t xml:space="preserve">Gemeinnützigkeitsrechtlich unproblematisch: Pacht ist eine normale Betriebsausgabe, eine überschussabhängige Pacht keine verbotene Gewinnabführung, solange sie fremdüblich bleibt (§ 55 AO). Die genaue Definition von „verfügbarer Überschuss“ und „Mindestrücklage“ ist der eigentliche Verhandlungspunkt – nicht die 500/1.000 €.</w:t>
      </w:r>
    </w:p>
    <w:p>
      <w:pPr>
        <w:spacing w:after="40"/>
      </w:pPr>
      <w:r>
        <w:rPr>
          <w:color w:val="1B2A33"/>
          <w:sz w:val="20"/>
          <w:szCs w:val="20"/>
        </w:rPr>
        <w:t xml:space="preserve">(3) Der Verein übernimmt alle Betriebs- und Nebenkosten gemäß § 2 der Betriebskostenverordnung (BetrKV) in der jeweils gültigen Fassung (Anlage 3).</w:t>
      </w:r>
    </w:p>
    <w:p>
      <w:pPr>
        <w:spacing w:after="70"/>
        <w:ind w:left="340"/>
      </w:pPr>
      <w:r>
        <w:rPr>
          <w:b/>
          <w:bCs/>
          <w:i/>
          <w:iCs/>
          <w:color w:val="C00000"/>
          <w:sz w:val="19"/>
          <w:szCs w:val="19"/>
        </w:rPr>
        <w:t xml:space="preserve">→ Sportbad: </w:t>
      </w:r>
      <w:r>
        <w:rPr>
          <w:i/>
          <w:iCs/>
          <w:color w:val="C00000"/>
          <w:sz w:val="19"/>
          <w:szCs w:val="19"/>
        </w:rPr>
        <w:t xml:space="preserve">Übergangszeit klären: die Kosten der Einmottung/Warmhaltung vor Übernahme (die Stadt hatte angeboten, den Strom Okt–Dez zu übernehmen) gehören nicht zu uns.</w:t>
      </w:r>
    </w:p>
    <w:p>
      <w:pPr>
        <w:keepNext/>
        <w:spacing w:after="50" w:before="200"/>
      </w:pPr>
      <w:r>
        <w:rPr>
          <w:b/>
          <w:bCs/>
          <w:color w:val="0A5173"/>
          <w:sz w:val="24"/>
          <w:szCs w:val="24"/>
        </w:rPr>
        <w:t xml:space="preserve">§ 4 Übergabe und Nutzung</w:t>
      </w:r>
    </w:p>
    <w:p>
      <w:pPr>
        <w:spacing w:after="40"/>
      </w:pPr>
      <w:r>
        <w:rPr>
          <w:color w:val="1B2A33"/>
          <w:sz w:val="20"/>
          <w:szCs w:val="20"/>
        </w:rPr>
        <w:t xml:space="preserve">(1) Der Vertragsgegenstand ist ordnungsgemäß, d. h. nach den einschlägigen baurechtlichen und bautechnischen Bestimmungen, erstellt worden. Die Übergabe erfolgt im Rahmen einer gemeinsamen Begehung. Der Verein behandelt die Vertragssache pfleglich und hält sie in sauberem, hygienischem und ordnungsgemäßem Zustand.</w:t>
      </w:r>
    </w:p>
    <w:p>
      <w:pPr>
        <w:spacing w:after="70"/>
        <w:ind w:left="340"/>
      </w:pPr>
      <w:r>
        <w:rPr>
          <w:b/>
          <w:bCs/>
          <w:i/>
          <w:iCs/>
          <w:color w:val="C00000"/>
          <w:sz w:val="19"/>
          <w:szCs w:val="19"/>
        </w:rPr>
        <w:t xml:space="preserve">→ Sportbad: </w:t>
      </w:r>
      <w:r>
        <w:rPr>
          <w:b/>
          <w:bCs/>
          <w:i/>
          <w:iCs/>
          <w:color w:val="C00000"/>
          <w:sz w:val="19"/>
          <w:szCs w:val="19"/>
        </w:rPr>
        <w:t xml:space="preserve">Vorschlag – </w:t>
      </w:r>
      <w:r>
        <w:rPr>
          <w:i/>
          <w:iCs/>
          <w:color w:val="C00000"/>
          <w:sz w:val="19"/>
          <w:szCs w:val="19"/>
        </w:rPr>
        <w:t xml:space="preserve">„ordnungsgemäß erstellt worden“ beschreibt den Bauzustand von 1970, nicht den heutigen. Wir brauchen ein Übergabeprotokoll zum tatsächlichen Ist-Zustand. Entscheidend: Brandschutz und Elektrik (DGUV V3) wurden nie geprüft – die Herstellung eines geprüften, regelkonformen Zustands (bzw. die Kosten dafür) ist Sache der Stadt und Voraussetzung der Übergabe. Der Brandschutz-Rundgang Anfang Oktober (Feuerwehr + Bauamt) soll genau das festlegen.</w:t>
      </w:r>
    </w:p>
    <w:p>
      <w:pPr>
        <w:spacing w:after="70"/>
        <w:ind w:left="340"/>
      </w:pPr>
      <w:r>
        <w:rPr>
          <w:b/>
          <w:bCs/>
          <w:i/>
          <w:iCs/>
          <w:color w:val="C00000"/>
          <w:sz w:val="19"/>
          <w:szCs w:val="19"/>
        </w:rPr>
        <w:t xml:space="preserve">→ Sportbad: </w:t>
      </w:r>
      <w:r>
        <w:rPr>
          <w:i/>
          <w:iCs/>
          <w:color w:val="C00000"/>
          <w:sz w:val="19"/>
          <w:szCs w:val="19"/>
        </w:rPr>
        <w:t xml:space="preserve">Einmottung/Übergabezustand: die Methode der Überwinterung ist uns egal, solange keine Substanzschäden entstehen; das Risiko der Standzeit trägt die Stadt bis zur Übergabe – vertraglich fixieren.</w:t>
      </w:r>
    </w:p>
    <w:p>
      <w:pPr>
        <w:spacing w:after="40"/>
      </w:pPr>
      <w:r>
        <w:rPr>
          <w:color w:val="1B2A33"/>
          <w:sz w:val="20"/>
          <w:szCs w:val="20"/>
        </w:rPr>
        <w:t xml:space="preserve">(2) Der Verein darf die Vertragssache nur für die in § 1 genannten Zwecke nutzen. Anderweitige Nutzung, Untervermietung oder Gebrauchsüberlassung an Dritte bedarf der vorherigen schriftlichen Zustimmung des Fachbereichs Sport und Freizeit.</w:t>
      </w:r>
    </w:p>
    <w:p>
      <w:pPr>
        <w:spacing w:after="40"/>
      </w:pPr>
      <w:r>
        <w:rPr>
          <w:color w:val="1B2A33"/>
          <w:sz w:val="20"/>
          <w:szCs w:val="20"/>
        </w:rPr>
        <w:t xml:space="preserve">(3) Der Verein ist berechtigt, Nutzern den Zutritt zu untersagen, wenn diese länger als 3 Monate mit ihren finanziellen Verpflichtungen in Verzug sind.</w:t>
      </w:r>
    </w:p>
    <w:p>
      <w:pPr>
        <w:spacing w:after="40"/>
      </w:pPr>
      <w:r>
        <w:rPr>
          <w:color w:val="1B2A33"/>
          <w:sz w:val="20"/>
          <w:szCs w:val="20"/>
        </w:rPr>
        <w:t xml:space="preserve">(5) Der Fachbereich Sport und Freizeit ist berechtigt, jederzeit – nach Abstimmung mit dem Verein und im Einvernehmen mit den betroffenen Nutzern – die Vertragssache selbst oder durch einen Dritten werbefrei zu nutzen, gegen Erstattung des nutzungsbedingten Ausfalls.</w:t>
      </w:r>
    </w:p>
    <w:p>
      <w:pPr>
        <w:spacing w:after="70"/>
        <w:ind w:left="340"/>
      </w:pPr>
      <w:r>
        <w:rPr>
          <w:b/>
          <w:bCs/>
          <w:i/>
          <w:iCs/>
          <w:color w:val="C00000"/>
          <w:sz w:val="19"/>
          <w:szCs w:val="19"/>
        </w:rPr>
        <w:t xml:space="preserve">→ Sportbad: </w:t>
      </w:r>
      <w:r>
        <w:rPr>
          <w:i/>
          <w:iCs/>
          <w:color w:val="C00000"/>
          <w:sz w:val="19"/>
          <w:szCs w:val="19"/>
        </w:rPr>
        <w:t xml:space="preserve">Eigennutzung durch die Stadt nur „nach Abstimmung“ – gut; unsere Belegungsplanung darf dadurch nicht ausgehebelt werden.</w:t>
      </w:r>
    </w:p>
    <w:p>
      <w:pPr>
        <w:keepNext/>
        <w:spacing w:after="50" w:before="200"/>
      </w:pPr>
      <w:r>
        <w:rPr>
          <w:b/>
          <w:bCs/>
          <w:color w:val="0A5173"/>
          <w:sz w:val="24"/>
          <w:szCs w:val="24"/>
        </w:rPr>
        <w:t xml:space="preserve">§ 5 Schäden und Haftung</w:t>
      </w:r>
    </w:p>
    <w:p>
      <w:pPr>
        <w:spacing w:after="40"/>
      </w:pPr>
      <w:r>
        <w:rPr>
          <w:color w:val="1B2A33"/>
          <w:sz w:val="20"/>
          <w:szCs w:val="20"/>
        </w:rPr>
        <w:t xml:space="preserve">(1) Der Verein lässt die feuer- und sicherheitspolizeilichen Vorschriften unmittelbar gegen sich gelten und stellt die Stadt von entsprechenden Haftungsansprüchen frei. Darüber hinaus haftet er für die Einhaltung der sonstigen gesetzlichen Bestimmungen (Verkehrssicherungspflicht, Polizeistunde etc.) sowie der behördlich erteilten Auflagen.</w:t>
      </w:r>
    </w:p>
    <w:p>
      <w:pPr>
        <w:spacing w:after="40"/>
      </w:pPr>
      <w:r>
        <w:rPr>
          <w:color w:val="1B2A33"/>
          <w:sz w:val="20"/>
          <w:szCs w:val="20"/>
        </w:rPr>
        <w:t xml:space="preserve">(2) Der Verein übernimmt für die Dauer des Vertrages unter vollständiger Entlastung der Stadt die gesetzliche Haftpflicht, insbesondere die Verkehrssicherungspflicht. Für die sicherheitsrelevanten Betriebsvorrichtungen (Wasseraufbereitung inkl. Chlorgasanlage, Mess- und Regelanlage, Gas-Heizungsanlage) sind Wartungsverträge mit autorisierten Fachfirmen abzuschließen. Er haftet für alle Schäden aus der Verletzung dieser Pflichten und stellt die Stadt frei (inkl. etwaiger Prozesskosten), insbesondere für schuldhaft verursachte Untergrundschäden.</w:t>
      </w:r>
    </w:p>
    <w:p>
      <w:pPr>
        <w:spacing w:after="70"/>
        <w:ind w:left="340"/>
      </w:pPr>
      <w:r>
        <w:rPr>
          <w:b/>
          <w:bCs/>
          <w:i/>
          <w:iCs/>
          <w:color w:val="C00000"/>
          <w:sz w:val="19"/>
          <w:szCs w:val="19"/>
        </w:rPr>
        <w:t xml:space="preserve">→ Sportbad: </w:t>
      </w:r>
      <w:r>
        <w:rPr>
          <w:b/>
          <w:bCs/>
          <w:i/>
          <w:iCs/>
          <w:color w:val="C00000"/>
          <w:sz w:val="19"/>
          <w:szCs w:val="19"/>
        </w:rPr>
        <w:t xml:space="preserve">Vorschlag – </w:t>
      </w:r>
      <w:r>
        <w:rPr>
          <w:i/>
          <w:iCs/>
          <w:color w:val="C00000"/>
          <w:sz w:val="19"/>
          <w:szCs w:val="19"/>
        </w:rPr>
        <w:t xml:space="preserve">Die Verkehrssicherungspflicht im laufenden Badbetrieb ist nicht abdingbar und wird akzeptiert (Deckung über den Badischen Gemeindeversicherungsverband/BGV). Kritisch ist die „vollständige Entlastung der Stadt“ plus Freistellung: hier eine Ausnahme für Altlasten/verdeckte Baumängel aufnehmen – unsere Haftung/Freistellung gilt nur für Schäden ab Übergabe und aus unserem Betrieb, nicht für bei Übergabe bereits vorhandene, verdeckte oder aus Baualter/Substanz herrührende Mängel. „schuldhaft verursachte Untergrundschäden“ ist akzeptabel (nur bei Verschulden).</w:t>
      </w:r>
    </w:p>
    <w:p>
      <w:pPr>
        <w:spacing w:after="40"/>
      </w:pPr>
      <w:r>
        <w:rPr>
          <w:color w:val="1B2A33"/>
          <w:sz w:val="20"/>
          <w:szCs w:val="20"/>
        </w:rPr>
        <w:t xml:space="preserve">(3) Der Verein haftet für alle Schäden am Vertragsgegenstand, die durch ihn oder von ihm zugelassene Nutzer vorsätzlich oder fahrlässig verursacht werden (mit Rückgriffsmöglichkeit auf die Schädiger).</w:t>
      </w:r>
    </w:p>
    <w:p>
      <w:pPr>
        <w:spacing w:after="40"/>
      </w:pPr>
      <w:r>
        <w:rPr>
          <w:color w:val="1B2A33"/>
          <w:sz w:val="20"/>
          <w:szCs w:val="20"/>
        </w:rPr>
        <w:t xml:space="preserve">(4) Zur Deckung etwaiger Schäden schließt der Verein eine angemessene Haftpflichtversicherung ab und weist deren Abschluss der Stadt nach.</w:t>
      </w:r>
    </w:p>
    <w:p>
      <w:pPr>
        <w:spacing w:after="70"/>
        <w:ind w:left="340"/>
      </w:pPr>
      <w:r>
        <w:rPr>
          <w:b/>
          <w:bCs/>
          <w:i/>
          <w:iCs/>
          <w:color w:val="C00000"/>
          <w:sz w:val="19"/>
          <w:szCs w:val="19"/>
        </w:rPr>
        <w:t xml:space="preserve">→ Sportbad: </w:t>
      </w:r>
      <w:r>
        <w:rPr>
          <w:i/>
          <w:iCs/>
          <w:color w:val="C00000"/>
          <w:sz w:val="19"/>
          <w:szCs w:val="19"/>
        </w:rPr>
        <w:t xml:space="preserve">Deckung über den BGV; klären, dass alle Mitglieder über den BGV mitversichert sind.</w:t>
      </w:r>
    </w:p>
    <w:p>
      <w:pPr>
        <w:keepNext/>
        <w:spacing w:after="50" w:before="200"/>
      </w:pPr>
      <w:r>
        <w:rPr>
          <w:b/>
          <w:bCs/>
          <w:color w:val="0A5173"/>
          <w:sz w:val="24"/>
          <w:szCs w:val="24"/>
        </w:rPr>
        <w:t xml:space="preserve">§ 6 Instandhaltung und Regelbetrieb</w:t>
      </w:r>
    </w:p>
    <w:p>
      <w:pPr>
        <w:spacing w:after="40"/>
      </w:pPr>
      <w:r>
        <w:rPr>
          <w:color w:val="1B2A33"/>
          <w:sz w:val="20"/>
          <w:szCs w:val="20"/>
        </w:rPr>
        <w:t xml:space="preserve">(1) Der Verein übernimmt im Rahmen seiner wirtschaftlichen Möglichkeiten die Bauunterhaltung in Dach und Fach (Anlage 4) einschließlich der Ersatzbeschaffung der betriebsnotwendigen Einrichtungen und erhält die Vertragssache in einem dem Verwendungszweck angemessenen Zustand. Er übernimmt die notwendige Wartung und Unterhaltung der technischen Einrichtungen (u. a. Brandschutz und Chlorgasanlage).</w:t>
      </w:r>
    </w:p>
    <w:p>
      <w:pPr>
        <w:spacing w:after="70"/>
        <w:ind w:left="340"/>
      </w:pPr>
      <w:r>
        <w:rPr>
          <w:b/>
          <w:bCs/>
          <w:i/>
          <w:iCs/>
          <w:color w:val="C00000"/>
          <w:sz w:val="19"/>
          <w:szCs w:val="19"/>
        </w:rPr>
        <w:t xml:space="preserve">→ Sportbad: </w:t>
      </w:r>
      <w:r>
        <w:rPr>
          <w:b/>
          <w:bCs/>
          <w:i/>
          <w:iCs/>
          <w:color w:val="C00000"/>
          <w:sz w:val="19"/>
          <w:szCs w:val="19"/>
        </w:rPr>
        <w:t xml:space="preserve">Vorschlag – </w:t>
      </w:r>
      <w:r>
        <w:rPr>
          <w:i/>
          <w:iCs/>
          <w:color w:val="C00000"/>
          <w:sz w:val="19"/>
          <w:szCs w:val="19"/>
        </w:rPr>
        <w:t xml:space="preserve">Der Zusatz „im Rahmen seiner wirtschaftlichen Möglichkeiten“ ist für uns wichtig und muss bleiben – er begrenzt unsere Instandhaltungspflicht.</w:t>
      </w:r>
    </w:p>
    <w:p>
      <w:pPr>
        <w:spacing w:after="70"/>
        <w:ind w:left="340"/>
      </w:pPr>
      <w:r>
        <w:rPr>
          <w:b/>
          <w:bCs/>
          <w:i/>
          <w:iCs/>
          <w:color w:val="C00000"/>
          <w:sz w:val="19"/>
          <w:szCs w:val="19"/>
        </w:rPr>
        <w:t xml:space="preserve">→ Sportbad: </w:t>
      </w:r>
      <w:r>
        <w:rPr>
          <w:i/>
          <w:iCs/>
          <w:color w:val="C00000"/>
          <w:sz w:val="19"/>
          <w:szCs w:val="19"/>
        </w:rPr>
        <w:t xml:space="preserve">„Dach und Fach“ (Anlage 4) umfasst u. a. Dachkonstruktion, Dachhaut und tragende Teile – für ein 70er-Bad ein großes Risiko. Grenze ziehen: laufende Instandhaltung/Kleinreparaturen beim Verein; große strukturelle Maßnahmen (Dach-Vollsanierung, Statik/Abhangdecke, Substanz) bei der Stadt oder geteilt / gegen Pachtanrechnung. Konsistent mit dem Kündigungsgrund in § 2 (Reparaturen über die Leistungskraft).</w:t>
      </w:r>
    </w:p>
    <w:p>
      <w:pPr>
        <w:spacing w:after="70"/>
        <w:ind w:left="340"/>
      </w:pPr>
      <w:r>
        <w:rPr>
          <w:b/>
          <w:bCs/>
          <w:i/>
          <w:iCs/>
          <w:color w:val="C00000"/>
          <w:sz w:val="19"/>
          <w:szCs w:val="19"/>
        </w:rPr>
        <w:t xml:space="preserve">→ Sportbad: </w:t>
      </w:r>
      <w:r>
        <w:rPr>
          <w:i/>
          <w:iCs/>
          <w:color w:val="C00000"/>
          <w:sz w:val="19"/>
          <w:szCs w:val="19"/>
        </w:rPr>
        <w:t xml:space="preserve">Brandschutz: laufende Wartung/Unterhaltung ok – aber die erstmalige Herstellung eines geprüften Brandschutz-/Elektrozustands (nie geprüft) ist Herstellung, nicht Unterhaltung → Stadt (siehe § 4). Zwischen „herstellen“ (Stadt) und „erhalten“ (Verein) sauber trennen.</w:t>
      </w:r>
    </w:p>
    <w:p>
      <w:pPr>
        <w:spacing w:after="40"/>
      </w:pPr>
      <w:r>
        <w:rPr>
          <w:color w:val="1B2A33"/>
          <w:sz w:val="20"/>
          <w:szCs w:val="20"/>
        </w:rPr>
        <w:t xml:space="preserve">(2) Die Kosten der laufenden Schönheitsreparaturen, der inneren Instandhaltung (Anlage 4 Nr. 2 u. 3) und der Instandhaltung der elektrischen und sanitären Installationen sowie der Wasseraufbereitung inkl. Chlorgas-, Mess- und Regelanlage trägt der Verein.</w:t>
      </w:r>
    </w:p>
    <w:p>
      <w:pPr>
        <w:spacing w:after="40"/>
      </w:pPr>
      <w:r>
        <w:rPr>
          <w:color w:val="1B2A33"/>
          <w:sz w:val="20"/>
          <w:szCs w:val="20"/>
        </w:rPr>
        <w:t xml:space="preserve">(3) Um-, An- und Einbauten dürfen nur mit schriftlicher Erlaubnis der Stadt eingebaut werden; vom Verein eingebrachte Einrichtungen dürfen bis zur Räumung entfernt werden. Bauliche Arbeiten der Stadt sind mit dem Verein abzustimmen; Arbeiten, die den Betrieb nicht länger andauernd unzumutbar behindern, sind entschädigungslos hinzunehmen.</w:t>
      </w:r>
    </w:p>
    <w:p>
      <w:pPr>
        <w:keepNext/>
        <w:spacing w:after="50" w:before="200"/>
      </w:pPr>
      <w:r>
        <w:rPr>
          <w:b/>
          <w:bCs/>
          <w:color w:val="0A5173"/>
          <w:sz w:val="24"/>
          <w:szCs w:val="24"/>
        </w:rPr>
        <w:t xml:space="preserve">§ 7 Aufrechnung</w:t>
      </w:r>
    </w:p>
    <w:p>
      <w:pPr>
        <w:spacing w:after="40"/>
      </w:pPr>
      <w:r>
        <w:rPr>
          <w:color w:val="1B2A33"/>
          <w:sz w:val="20"/>
          <w:szCs w:val="20"/>
        </w:rPr>
        <w:t xml:space="preserve">Der Verein ist nicht befugt, in Ansehung dieses Vertrages mit anderen als unbestrittenen oder rechtskräftig festgestellten Gegenforderungen aufzurechnen.</w:t>
      </w:r>
    </w:p>
    <w:p>
      <w:pPr>
        <w:spacing w:after="70"/>
        <w:ind w:left="340"/>
      </w:pPr>
      <w:r>
        <w:rPr>
          <w:b/>
          <w:bCs/>
          <w:i/>
          <w:iCs/>
          <w:color w:val="C00000"/>
          <w:sz w:val="19"/>
          <w:szCs w:val="19"/>
        </w:rPr>
        <w:t xml:space="preserve">→ Sportbad: </w:t>
      </w:r>
      <w:r>
        <w:rPr>
          <w:i/>
          <w:iCs/>
          <w:color w:val="C00000"/>
          <w:sz w:val="19"/>
          <w:szCs w:val="19"/>
        </w:rPr>
        <w:t xml:space="preserve">Standardklausel, unkritisch.</w:t>
      </w:r>
    </w:p>
    <w:p>
      <w:pPr>
        <w:keepNext/>
        <w:spacing w:after="50" w:before="200"/>
      </w:pPr>
      <w:r>
        <w:rPr>
          <w:b/>
          <w:bCs/>
          <w:color w:val="0A5173"/>
          <w:sz w:val="24"/>
          <w:szCs w:val="24"/>
        </w:rPr>
        <w:t xml:space="preserve">§ 8 Zutrittsrecht und Ersatzvornahme</w:t>
      </w:r>
    </w:p>
    <w:p>
      <w:pPr>
        <w:spacing w:after="40"/>
      </w:pPr>
      <w:r>
        <w:rPr>
          <w:color w:val="1B2A33"/>
          <w:sz w:val="20"/>
          <w:szCs w:val="20"/>
        </w:rPr>
        <w:t xml:space="preserve">(1) Die Beauftragten der Stadt können zu jeder angemessenen Tageszeit Zutritt verlangen; bei Gefahr im Verzug zu jeder Tages- und Nachtzeit. (2) Bleiben die Räume längere Zeit unbeaufsichtigt, hält der Verein die Schlüssel bereit; andernfalls darf die Stadt in dringenden Fällen auf Kosten des Vereins öffnen. (3) Schlüssel bei Vertragsende vollzählig zurück; sonst neue Schließanlage auf Kosten des Vereins. (4) Ersatzvornahme nach Mahnung/Fristsetzung; bei Gefahr im Verzug ohne.</w:t>
      </w:r>
    </w:p>
    <w:p>
      <w:pPr>
        <w:spacing w:after="70"/>
        <w:ind w:left="340"/>
      </w:pPr>
      <w:r>
        <w:rPr>
          <w:b/>
          <w:bCs/>
          <w:i/>
          <w:iCs/>
          <w:color w:val="C00000"/>
          <w:sz w:val="19"/>
          <w:szCs w:val="19"/>
        </w:rPr>
        <w:t xml:space="preserve">→ Sportbad: </w:t>
      </w:r>
      <w:r>
        <w:rPr>
          <w:i/>
          <w:iCs/>
          <w:color w:val="C00000"/>
          <w:sz w:val="19"/>
          <w:szCs w:val="19"/>
        </w:rPr>
        <w:t xml:space="preserve">Praktikabel; wir bekommen ohnehin einen Schlüssel für den Handwerkerzugang (Zusage Kaliske, 04.08.). Unkritisch.</w:t>
      </w:r>
    </w:p>
    <w:p>
      <w:pPr>
        <w:keepNext/>
        <w:spacing w:after="50" w:before="200"/>
      </w:pPr>
      <w:r>
        <w:rPr>
          <w:b/>
          <w:bCs/>
          <w:color w:val="0A5173"/>
          <w:sz w:val="24"/>
          <w:szCs w:val="24"/>
        </w:rPr>
        <w:t xml:space="preserve">§ 9 Rückgabe</w:t>
      </w:r>
    </w:p>
    <w:p>
      <w:pPr>
        <w:spacing w:after="40"/>
      </w:pPr>
      <w:r>
        <w:rPr>
          <w:color w:val="1B2A33"/>
          <w:sz w:val="20"/>
          <w:szCs w:val="20"/>
        </w:rPr>
        <w:t xml:space="preserve">Bei Beendigung des Vertragsverhältnisses ist die Vertragssache in ordnungsgemäßem und gereinigtem Zustand an die Stadt zurückzugeben.</w:t>
      </w:r>
    </w:p>
    <w:p>
      <w:pPr>
        <w:spacing w:after="70"/>
        <w:ind w:left="340"/>
      </w:pPr>
      <w:r>
        <w:rPr>
          <w:b/>
          <w:bCs/>
          <w:i/>
          <w:iCs/>
          <w:color w:val="C00000"/>
          <w:sz w:val="19"/>
          <w:szCs w:val="19"/>
        </w:rPr>
        <w:t xml:space="preserve">→ Sportbad: </w:t>
      </w:r>
      <w:r>
        <w:rPr>
          <w:b/>
          <w:bCs/>
          <w:i/>
          <w:iCs/>
          <w:color w:val="C00000"/>
          <w:sz w:val="19"/>
          <w:szCs w:val="19"/>
        </w:rPr>
        <w:t xml:space="preserve">Vorschlag – </w:t>
      </w:r>
      <w:r>
        <w:rPr>
          <w:i/>
          <w:iCs/>
          <w:color w:val="C00000"/>
          <w:sz w:val="19"/>
          <w:szCs w:val="19"/>
        </w:rPr>
        <w:t xml:space="preserve">„Ordnungsgemäßer Zustand“ bei Rückgabe an den Ist-Zustand bei Übergabe koppeln (normale Abnutzung/Alterung ausgenommen), mit dem Übergabeprotokoll aus § 4 verzahnen. Sonst Risiko, ein 70er-Bad besser zurückgeben zu müssen, als wir es bekommen haben.</w:t>
      </w:r>
    </w:p>
    <w:p>
      <w:pPr>
        <w:keepNext/>
        <w:spacing w:after="50" w:before="200"/>
      </w:pPr>
      <w:r>
        <w:rPr>
          <w:b/>
          <w:bCs/>
          <w:color w:val="0A5173"/>
          <w:sz w:val="24"/>
          <w:szCs w:val="24"/>
        </w:rPr>
        <w:t xml:space="preserve">§ 10 Untervermietung</w:t>
      </w:r>
    </w:p>
    <w:p>
      <w:pPr>
        <w:spacing w:after="40"/>
      </w:pPr>
      <w:r>
        <w:rPr>
          <w:color w:val="1B2A33"/>
          <w:sz w:val="20"/>
          <w:szCs w:val="20"/>
        </w:rPr>
        <w:t xml:space="preserve">Dem Verein wird gestattet, den Mietgegenstand ganz oder teilweise gegen Entgelt entsprechend der in § 1 Abs. 1 festgeschriebenen Nutzung unterzuvermieten. Dabei ist § 4 Abs. 2 zu beachten.</w:t>
      </w:r>
    </w:p>
    <w:p>
      <w:pPr>
        <w:spacing w:after="70"/>
        <w:ind w:left="340"/>
      </w:pPr>
      <w:r>
        <w:rPr>
          <w:b/>
          <w:bCs/>
          <w:i/>
          <w:iCs/>
          <w:color w:val="C00000"/>
          <w:sz w:val="19"/>
          <w:szCs w:val="19"/>
        </w:rPr>
        <w:t xml:space="preserve">→ Sportbad: </w:t>
      </w:r>
      <w:r>
        <w:rPr>
          <w:i/>
          <w:iCs/>
          <w:color w:val="C00000"/>
          <w:sz w:val="19"/>
          <w:szCs w:val="19"/>
        </w:rPr>
        <w:t xml:space="preserve">Gut – das ist die vertragliche Basis für unser Belegungs-/Entgeltmodell (Vereine, Schulen, Gruppen buchen Bahnenzeiten). Sicherstellen, dass die Zustimmung nach § 4 Abs. 2 das Nutzungskonzept insgesamt freigibt und nicht für jede einzelne Nutzung nötig ist. Schulnutzung ab 2027/28 (17.000 €/Jahr) hier verorten.</w:t>
      </w:r>
    </w:p>
    <w:p>
      <w:pPr>
        <w:keepNext/>
        <w:spacing w:after="50" w:before="200"/>
      </w:pPr>
      <w:r>
        <w:rPr>
          <w:b/>
          <w:bCs/>
          <w:color w:val="0A5173"/>
          <w:sz w:val="24"/>
          <w:szCs w:val="24"/>
        </w:rPr>
        <w:t xml:space="preserve">§ 11 Schlussbestimmungen</w:t>
      </w:r>
    </w:p>
    <w:p>
      <w:pPr>
        <w:spacing w:after="40"/>
      </w:pPr>
      <w:r>
        <w:rPr>
          <w:color w:val="1B2A33"/>
          <w:sz w:val="20"/>
          <w:szCs w:val="20"/>
        </w:rPr>
        <w:t xml:space="preserve">(1) Salvatorische Klausel. (2) Duldung vertragswidrigen Verhaltens gilt nicht als Zustimmung. (3) Änderungen/Ergänzungen bedürfen der Schriftform. (4) Zweifach gefertigt. (5) Anlagen 1–5 sind Vertragsbestandteil.</w:t>
      </w:r>
    </w:p>
    <w:p>
      <w:pPr>
        <w:spacing w:after="70"/>
        <w:ind w:left="340"/>
      </w:pPr>
      <w:r>
        <w:rPr>
          <w:b/>
          <w:bCs/>
          <w:i/>
          <w:iCs/>
          <w:color w:val="C00000"/>
          <w:sz w:val="19"/>
          <w:szCs w:val="19"/>
        </w:rPr>
        <w:t xml:space="preserve">→ Sportbad: </w:t>
      </w:r>
      <w:r>
        <w:rPr>
          <w:i/>
          <w:iCs/>
          <w:color w:val="C00000"/>
          <w:sz w:val="19"/>
          <w:szCs w:val="19"/>
        </w:rPr>
        <w:t xml:space="preserve">Wichtig: alle ausgehandelten Sonderpunkte müssen schriftlich in den Vertrag oder in Anlagen – mündliche Zusagen der Stadt (Einmottung, Strom Okt–Dez) reichen nicht.</w:t>
      </w:r>
    </w:p>
    <w:p>
      <w:pPr>
        <w:keepNext/>
        <w:spacing w:after="50" w:before="200"/>
      </w:pPr>
      <w:r>
        <w:rPr>
          <w:b/>
          <w:bCs/>
          <w:color w:val="0A5173"/>
          <w:sz w:val="24"/>
          <w:szCs w:val="24"/>
        </w:rPr>
        <w:t xml:space="preserve">Anlagen</w:t>
      </w:r>
    </w:p>
    <w:p>
      <w:pPr>
        <w:spacing w:after="40"/>
      </w:pPr>
      <w:r>
        <w:rPr>
          <w:color w:val="1B2A33"/>
          <w:sz w:val="20"/>
          <w:szCs w:val="20"/>
        </w:rPr>
        <w:t xml:space="preserve">Anlage 1 Lageplan · Anlage 2 reservierte Parkflächen · Anlage 3 Betriebskostenverordnung (BetrKV) · Anlage 4 Definition „Dach und Fach“ · Anlage 5 Merkblatt 94.05 „Verkehrssicherungs- und Aufsichtspflicht in öffentlichen Bädern“.</w:t>
      </w:r>
    </w:p>
    <w:p>
      <w:pPr>
        <w:spacing w:after="70"/>
        <w:ind w:left="340"/>
      </w:pPr>
      <w:r>
        <w:rPr>
          <w:b/>
          <w:bCs/>
          <w:i/>
          <w:iCs/>
          <w:color w:val="C00000"/>
          <w:sz w:val="19"/>
          <w:szCs w:val="19"/>
        </w:rPr>
        <w:t xml:space="preserve">→ Sportbad: </w:t>
      </w:r>
      <w:r>
        <w:rPr>
          <w:i/>
          <w:iCs/>
          <w:color w:val="C00000"/>
          <w:sz w:val="19"/>
          <w:szCs w:val="19"/>
        </w:rPr>
        <w:t xml:space="preserve">Anlage 4 „Dach und Fach“ ist unser Kernrisiko (konstruktive Teile, Dachhaut, Entwässerung, Elektro-Leitungsnetz) – hier greift die Grenzziehung aus § 6.</w:t>
      </w:r>
    </w:p>
    <w:p>
      <w:pPr>
        <w:spacing w:after="70"/>
        <w:ind w:left="340"/>
      </w:pPr>
      <w:r>
        <w:rPr>
          <w:b/>
          <w:bCs/>
          <w:i/>
          <w:iCs/>
          <w:color w:val="C00000"/>
          <w:sz w:val="19"/>
          <w:szCs w:val="19"/>
        </w:rPr>
        <w:t xml:space="preserve">→ Sportbad: </w:t>
      </w:r>
      <w:r>
        <w:rPr>
          <w:i/>
          <w:iCs/>
          <w:color w:val="C00000"/>
          <w:sz w:val="19"/>
          <w:szCs w:val="19"/>
        </w:rPr>
        <w:t xml:space="preserve">Anlage 5 (Merkblatt 94.05) stützt unser Modell: Vereins-/Gruppen-/Schulbetrieb eigenverantwortlich über Nutzungsverträge (Ziff. 8); Wasseraufsicht durch Rettungsschwimmer „Silber“ (Nachweis ≤ 3 Jahre, DLRG); Videoüberwachung ersetzt die Wasseraufsicht nicht (relevant für unsere Video-Regelung).</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A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2026-09-29T12:38:58.379Z</dcterms:created>
  <dcterms:modified xsi:type="dcterms:W3CDTF">2026-09-29T12:38:58.392Z</dcterms:modified>
</cp:coreProperties>
</file>

<file path=docProps/custom.xml><?xml version="1.0" encoding="utf-8"?>
<Properties xmlns="http://schemas.openxmlformats.org/officeDocument/2006/custom-properties" xmlns:vt="http://schemas.openxmlformats.org/officeDocument/2006/docPropsVTypes"/>
</file>