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3C54"/>
          <w:sz w:val="40"/>
          <w:szCs w:val="40"/>
        </w:rPr>
        <w:t xml:space="preserve">Gesprächsnotiz</w:t>
      </w:r>
    </w:p>
    <w:p>
      <w:pPr>
        <w:spacing w:after="200"/>
      </w:pPr>
      <w:r>
        <w:rPr>
          <w:rFonts w:ascii="Calibri" w:cs="Calibri" w:eastAsia="Calibri" w:hAnsi="Calibri"/>
          <w:color w:val="0E6D8F"/>
          <w:sz w:val="24"/>
          <w:szCs w:val="24"/>
        </w:rPr>
        <w:t xml:space="preserve">Statische Begehung Hallenbad Seckenheim mit Felix Späh (Breuer + Späh)</w:t>
      </w:r>
    </w:p>
    <w:p>
      <w:pPr>
        <w:pBdr>
          <w:bottom w:val="single" w:color="0E6D8F" w:sz="6" w:space="6"/>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b/>
                <w:bCs/>
                <w:color w:val="0E6D8F"/>
                <w:sz w:val="21"/>
                <w:szCs w:val="21"/>
              </w:rPr>
              <w:t xml:space="preserve">Datum, Ort</w:t>
            </w:r>
          </w:p>
        </w:tc>
        <w:tc>
          <w:tcPr>
            <w:tcW w:type="dxa" w:w="71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color w:val="1B2A33"/>
                <w:sz w:val="21"/>
                <w:szCs w:val="21"/>
              </w:rPr>
              <w:t xml:space="preserve">28. August 2026, Schwimmbad Seckenheim</w:t>
            </w:r>
          </w:p>
        </w:tc>
      </w:tr>
      <w:tr>
        <w:tc>
          <w:tcPr>
            <w:tcW w:type="dxa" w:w="22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b/>
                <w:bCs/>
                <w:color w:val="0E6D8F"/>
                <w:sz w:val="21"/>
                <w:szCs w:val="21"/>
              </w:rPr>
              <w:t xml:space="preserve">Teilnehmer</w:t>
            </w:r>
          </w:p>
        </w:tc>
        <w:tc>
          <w:tcPr>
            <w:tcW w:type="dxa" w:w="71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Calibri" w:cs="Calibri" w:eastAsia="Calibri" w:hAnsi="Calibri"/>
                <w:color w:val="1B2A33"/>
                <w:sz w:val="21"/>
                <w:szCs w:val="21"/>
              </w:rPr>
              <w:t xml:space="preserve">Felix Späh (Ingenieurbüro Breuer + Späh); Martin; Christian</w:t>
            </w:r>
          </w:p>
        </w:tc>
      </w:tr>
    </w:tbl>
    <w:p>
      <w:pPr>
        <w:pStyle w:val="Heading2"/>
        <w:spacing w:after="80" w:before="240"/>
      </w:pPr>
      <w:r>
        <w:rPr>
          <w:rFonts w:ascii="Calibri" w:cs="Calibri" w:eastAsia="Calibri" w:hAnsi="Calibri"/>
          <w:b/>
          <w:bCs/>
          <w:color w:val="0B3C54"/>
          <w:sz w:val="25"/>
          <w:szCs w:val="25"/>
        </w:rPr>
        <w:t xml:space="preserve">Gesamteinschätzung</w:t>
      </w:r>
    </w:p>
    <w:p>
      <w:pPr>
        <w:pStyle w:val="ListParagraph"/>
        <w:numPr>
          <w:ilvl w:val="0"/>
          <w:numId w:val="1"/>
        </w:numPr>
        <w:spacing w:after="60"/>
      </w:pPr>
      <w:r>
        <w:rPr>
          <w:rFonts w:ascii="Calibri" w:cs="Calibri" w:eastAsia="Calibri" w:hAnsi="Calibri"/>
          <w:i w:val="false"/>
          <w:iCs w:val="false"/>
          <w:color w:val="1B2A33"/>
          <w:sz w:val="22"/>
          <w:szCs w:val="22"/>
        </w:rPr>
        <w:t xml:space="preserve">Herr Späh hat Technikbereich, Badbereich und Außenwände angesehen und kommt wie Herr Berndt zu dem Schluss, dass sich das Bad mit einigen Arbeiten die nächsten Jahre weiterbetreiben lässt.</w:t>
      </w:r>
    </w:p>
    <w:p>
      <w:pPr>
        <w:pStyle w:val="ListParagraph"/>
        <w:numPr>
          <w:ilvl w:val="0"/>
          <w:numId w:val="1"/>
        </w:numPr>
        <w:spacing w:after="60"/>
      </w:pPr>
      <w:r>
        <w:rPr>
          <w:rFonts w:ascii="Calibri" w:cs="Calibri" w:eastAsia="Calibri" w:hAnsi="Calibri"/>
          <w:i w:val="false"/>
          <w:iCs w:val="false"/>
          <w:color w:val="1B2A33"/>
          <w:sz w:val="22"/>
          <w:szCs w:val="22"/>
        </w:rPr>
        <w:t xml:space="preserve">Die Substanz ist für ein Gebäude aus den 1970er-Jahren in einem hervorragenden Zustand – nach seiner Einschätzung deutlich besser als ein anderes, bereits saniertes Mannheimer Hallenbad. Sollte es je dazu kommen, hält er es für lohnenswert, das Bad noch einmal zu sanieren und dann weitere rund 50 Jahre zu betreiben.</w:t>
      </w:r>
    </w:p>
    <w:p>
      <w:pPr>
        <w:pStyle w:val="ListParagraph"/>
        <w:numPr>
          <w:ilvl w:val="0"/>
          <w:numId w:val="1"/>
        </w:numPr>
        <w:spacing w:after="60"/>
      </w:pPr>
      <w:r>
        <w:rPr>
          <w:rFonts w:ascii="Calibri" w:cs="Calibri" w:eastAsia="Calibri" w:hAnsi="Calibri"/>
          <w:i w:val="false"/>
          <w:iCs w:val="false"/>
          <w:color w:val="1B2A33"/>
          <w:sz w:val="22"/>
          <w:szCs w:val="22"/>
        </w:rPr>
        <w:t xml:space="preserve">Kritische Punkte aus seiner Sicht: der Sprungturm sowie die (zwingend zu erneuernde) Begutachtung der abgehängten Decke.</w:t>
      </w:r>
    </w:p>
    <w:p>
      <w:pPr>
        <w:pStyle w:val="ListParagraph"/>
        <w:numPr>
          <w:ilvl w:val="0"/>
          <w:numId w:val="1"/>
        </w:numPr>
        <w:spacing w:after="60"/>
      </w:pPr>
      <w:r>
        <w:rPr>
          <w:rFonts w:ascii="Calibri" w:cs="Calibri" w:eastAsia="Calibri" w:hAnsi="Calibri"/>
          <w:i w:val="false"/>
          <w:iCs w:val="false"/>
          <w:color w:val="1B2A33"/>
          <w:sz w:val="22"/>
          <w:szCs w:val="22"/>
        </w:rPr>
        <w:t xml:space="preserve">Grundprinzip der Instandhaltung: Der Beckenumgang wird laufend nach Bedarf gepflegt – wo sich Fliesen lösen, wird punktuell die darunterliegende Bewehrung freigelegt, entrostet, geschützt und wieder verschlossen und abgedichtet. Für einen Weiterbetrieb von 5–10 Jahren ist das ausreichend; eine vollständige Sanierung würde den gesamten umlaufenden Bereich betreffen.</w:t>
      </w:r>
    </w:p>
    <w:p>
      <w:pPr>
        <w:pStyle w:val="Heading2"/>
        <w:spacing w:after="80" w:before="240"/>
      </w:pPr>
      <w:r>
        <w:rPr>
          <w:rFonts w:ascii="Calibri" w:cs="Calibri" w:eastAsia="Calibri" w:hAnsi="Calibri"/>
          <w:b/>
          <w:bCs/>
          <w:color w:val="0B3C54"/>
          <w:sz w:val="25"/>
          <w:szCs w:val="25"/>
        </w:rPr>
        <w:t xml:space="preserve">1. Technikbereich</w:t>
      </w:r>
    </w:p>
    <w:p>
      <w:pPr>
        <w:pStyle w:val="ListParagraph"/>
        <w:numPr>
          <w:ilvl w:val="0"/>
          <w:numId w:val="1"/>
        </w:numPr>
        <w:spacing w:after="60"/>
      </w:pPr>
      <w:r>
        <w:rPr>
          <w:rFonts w:ascii="Calibri" w:cs="Calibri" w:eastAsia="Calibri" w:hAnsi="Calibri"/>
          <w:i w:val="false"/>
          <w:iCs w:val="false"/>
          <w:color w:val="1B2A33"/>
          <w:sz w:val="22"/>
          <w:szCs w:val="22"/>
        </w:rPr>
        <w:t xml:space="preserve">Decken und Beckenwanne machen von außen einen guten Eindruck; keine akuten Probleme. Auch im Keller ist der Beckenzustand sehr gut und sehr dicht – keine Anzeichen für Probleme.</w:t>
      </w:r>
    </w:p>
    <w:p>
      <w:pPr>
        <w:pStyle w:val="ListParagraph"/>
        <w:numPr>
          <w:ilvl w:val="0"/>
          <w:numId w:val="1"/>
        </w:numPr>
        <w:spacing w:after="60"/>
      </w:pPr>
      <w:r>
        <w:rPr>
          <w:rFonts w:ascii="Calibri" w:cs="Calibri" w:eastAsia="Calibri" w:hAnsi="Calibri"/>
          <w:i w:val="false"/>
          <w:iCs w:val="false"/>
          <w:color w:val="1B2A33"/>
          <w:sz w:val="22"/>
          <w:szCs w:val="22"/>
        </w:rPr>
        <w:t xml:space="preserve">Einige Risse im Beton, größtenteils selbst verschlossen. Alle nicht ausdrücklich genannten Risse sind unkritisch.</w:t>
      </w:r>
    </w:p>
    <w:p>
      <w:pPr>
        <w:pStyle w:val="ListParagraph"/>
        <w:numPr>
          <w:ilvl w:val="0"/>
          <w:numId w:val="1"/>
        </w:numPr>
        <w:spacing w:after="60"/>
      </w:pPr>
      <w:r>
        <w:rPr>
          <w:rFonts w:ascii="Calibri" w:cs="Calibri" w:eastAsia="Calibri" w:hAnsi="Calibri"/>
          <w:i w:val="false"/>
          <w:iCs w:val="false"/>
          <w:color w:val="1B2A33"/>
          <w:sz w:val="22"/>
          <w:szCs w:val="22"/>
        </w:rPr>
        <w:t xml:space="preserve">Im Bereich von Abplatzungen sollte die Bewehrung freigelegt, entrostet und mit Reparaturmörtel gegen Korrosion geschützt werden. Notfalls lassen sich Abplatzungen und größere Risse markieren und weiter beobachten.</w:t>
      </w:r>
    </w:p>
    <w:p>
      <w:pPr>
        <w:pStyle w:val="Heading2"/>
        <w:spacing w:after="80" w:before="240"/>
      </w:pPr>
      <w:r>
        <w:rPr>
          <w:rFonts w:ascii="Calibri" w:cs="Calibri" w:eastAsia="Calibri" w:hAnsi="Calibri"/>
          <w:b/>
          <w:bCs/>
          <w:color w:val="0B3C54"/>
          <w:sz w:val="25"/>
          <w:szCs w:val="25"/>
        </w:rPr>
        <w:t xml:space="preserve">2. Schwimmbad – Beckenumgang, Ablaufrinne, Fliesen</w:t>
      </w:r>
    </w:p>
    <w:p>
      <w:pPr>
        <w:pStyle w:val="ListParagraph"/>
        <w:numPr>
          <w:ilvl w:val="0"/>
          <w:numId w:val="1"/>
        </w:numPr>
        <w:spacing w:after="60"/>
      </w:pPr>
      <w:r>
        <w:rPr>
          <w:rFonts w:ascii="Calibri" w:cs="Calibri" w:eastAsia="Calibri" w:hAnsi="Calibri"/>
          <w:i w:val="false"/>
          <w:iCs w:val="false"/>
          <w:color w:val="1B2A33"/>
          <w:sz w:val="22"/>
          <w:szCs w:val="22"/>
        </w:rPr>
        <w:t xml:space="preserve">Kritischster Punkt im oberen Bereich ist die umlaufende Fuge bzw. der Handbereich neben der Ablaufrinne: An den Konsolen der aufgelegten Betonteile, die den umlaufenden Weg überspannen, haben sich einige Bewehrungseisen durch Korrosion teilweise aufgelöst. Bei der Kellerbegehung wurde jedoch klar, dass der Abstand zwischen diesen Schadstellen so groß ist, dass keinerlei statische Gefährdung besteht.</w:t>
      </w:r>
    </w:p>
    <w:p>
      <w:pPr>
        <w:pStyle w:val="ListParagraph"/>
        <w:numPr>
          <w:ilvl w:val="0"/>
          <w:numId w:val="1"/>
        </w:numPr>
        <w:spacing w:after="60"/>
      </w:pPr>
      <w:r>
        <w:rPr>
          <w:rFonts w:ascii="Calibri" w:cs="Calibri" w:eastAsia="Calibri" w:hAnsi="Calibri"/>
          <w:i w:val="false"/>
          <w:iCs w:val="false"/>
          <w:color w:val="1B2A33"/>
          <w:sz w:val="22"/>
          <w:szCs w:val="22"/>
        </w:rPr>
        <w:t xml:space="preserve">Standard-Reparatur (überall gleich, sobald sich Fliesen lösen oder anheben): die Stelle öffnen, die darunterliegende Bewehrung freilegen und entrosten, gegen Korrosion schützen und mit Reparaturmörtel, Abdichtung und Fliesen wieder verschließen sowie von oben wasserdicht versiegeln. Dieses punktuelle Flicken wird umlaufend nach Bedarf fortgeführt.</w:t>
      </w:r>
    </w:p>
    <w:p>
      <w:pPr>
        <w:pStyle w:val="ListParagraph"/>
        <w:numPr>
          <w:ilvl w:val="0"/>
          <w:numId w:val="1"/>
        </w:numPr>
        <w:spacing w:after="60"/>
      </w:pPr>
      <w:r>
        <w:rPr>
          <w:rFonts w:ascii="Calibri" w:cs="Calibri" w:eastAsia="Calibri" w:hAnsi="Calibri"/>
          <w:i w:val="false"/>
          <w:iCs w:val="false"/>
          <w:color w:val="1B2A33"/>
          <w:sz w:val="22"/>
          <w:szCs w:val="22"/>
        </w:rPr>
        <w:t xml:space="preserve">Aktuell konkret zu behandeln: an der Ablaufrinne auf der flachen Beckenseite, etwa mittig an einem Ablaufpunkt, gibt es feuchtere Stellen mit beidseitiger Stahlkorrosion im Beton. Hier die Fläche großzügig öffnen und den Stahl reparieren; die Abdichtung an der Rinne oben über eine neue Deuma-Dichtung ausführen (Ablaufrohr eindichten), unten den Stahl freilegen und wieder versorgen.</w:t>
      </w:r>
    </w:p>
    <w:p>
      <w:pPr>
        <w:pStyle w:val="ListParagraph"/>
        <w:numPr>
          <w:ilvl w:val="0"/>
          <w:numId w:val="1"/>
        </w:numPr>
        <w:spacing w:after="60"/>
      </w:pPr>
      <w:r>
        <w:rPr>
          <w:rFonts w:ascii="Calibri" w:cs="Calibri" w:eastAsia="Calibri" w:hAnsi="Calibri"/>
          <w:i w:val="false"/>
          <w:iCs w:val="false"/>
          <w:color w:val="1B2A33"/>
          <w:sz w:val="22"/>
          <w:szCs w:val="22"/>
        </w:rPr>
        <w:t xml:space="preserve">Ebenfalls aktuell: im Umgang oben, im Bereich des flachen Wassers an der Fensterseite, haben sich Fliesen gelöst – hier nach dem Standardverfahren instand setzen.</w:t>
      </w:r>
    </w:p>
    <w:p>
      <w:pPr>
        <w:pStyle w:val="Heading2"/>
        <w:spacing w:after="80" w:before="240"/>
      </w:pPr>
      <w:r>
        <w:rPr>
          <w:rFonts w:ascii="Calibri" w:cs="Calibri" w:eastAsia="Calibri" w:hAnsi="Calibri"/>
          <w:b/>
          <w:bCs/>
          <w:color w:val="0B3C54"/>
          <w:sz w:val="25"/>
          <w:szCs w:val="25"/>
        </w:rPr>
        <w:t xml:space="preserve">3. Sprungturm</w:t>
      </w:r>
    </w:p>
    <w:p>
      <w:pPr>
        <w:pStyle w:val="ListParagraph"/>
        <w:numPr>
          <w:ilvl w:val="0"/>
          <w:numId w:val="1"/>
        </w:numPr>
        <w:spacing w:after="60"/>
      </w:pPr>
      <w:r>
        <w:rPr>
          <w:rFonts w:ascii="Calibri" w:cs="Calibri" w:eastAsia="Calibri" w:hAnsi="Calibri"/>
          <w:i w:val="false"/>
          <w:iCs w:val="false"/>
          <w:color w:val="1B2A33"/>
          <w:sz w:val="22"/>
          <w:szCs w:val="22"/>
        </w:rPr>
        <w:t xml:space="preserve">Fundamente bzw. einbetonierte Halteplatte öffnen und auf Korrosion prüfen; ebenso die Plattform (dazu die Verkleidung unterhalb öffnen). Rundherum sind dafür die Fliesen zu entfernen.</w:t>
      </w:r>
    </w:p>
    <w:p>
      <w:pPr>
        <w:pStyle w:val="ListParagraph"/>
        <w:numPr>
          <w:ilvl w:val="0"/>
          <w:numId w:val="1"/>
        </w:numPr>
        <w:spacing w:after="60"/>
      </w:pPr>
      <w:r>
        <w:rPr>
          <w:rFonts w:ascii="Calibri" w:cs="Calibri" w:eastAsia="Calibri" w:hAnsi="Calibri"/>
          <w:i w:val="false"/>
          <w:iCs w:val="false"/>
          <w:color w:val="1B2A33"/>
          <w:sz w:val="22"/>
          <w:szCs w:val="22"/>
        </w:rPr>
        <w:t xml:space="preserve">Zeigt sich Korrosion, lässt sich das grundsätzlich sanieren. Wird die Sanierung jedoch sehr teuer, sollte alternativ der Abbau des Sprungturms erwogen werden. Ein Abbau ist mit der Stadt abzustimmen.</w:t>
      </w:r>
    </w:p>
    <w:p>
      <w:pPr>
        <w:pStyle w:val="Heading2"/>
        <w:spacing w:after="80" w:before="240"/>
      </w:pPr>
      <w:r>
        <w:rPr>
          <w:rFonts w:ascii="Calibri" w:cs="Calibri" w:eastAsia="Calibri" w:hAnsi="Calibri"/>
          <w:b/>
          <w:bCs/>
          <w:color w:val="0B3C54"/>
          <w:sz w:val="25"/>
          <w:szCs w:val="25"/>
        </w:rPr>
        <w:t xml:space="preserve">4. Dach (Tragwerk)</w:t>
      </w:r>
    </w:p>
    <w:p>
      <w:pPr>
        <w:pStyle w:val="ListParagraph"/>
        <w:numPr>
          <w:ilvl w:val="0"/>
          <w:numId w:val="1"/>
        </w:numPr>
        <w:spacing w:after="60"/>
      </w:pPr>
      <w:r>
        <w:rPr>
          <w:rFonts w:ascii="Calibri" w:cs="Calibri" w:eastAsia="Calibri" w:hAnsi="Calibri"/>
          <w:i w:val="false"/>
          <w:iCs w:val="false"/>
          <w:color w:val="1B2A33"/>
          <w:sz w:val="22"/>
          <w:szCs w:val="22"/>
        </w:rPr>
        <w:t xml:space="preserve">Das Dach besteht aus großen, im Werk gegossenen Spannbetonträgern, die auf Stützen (u. a. auf der Fensterseite) aufliegen. Korrosion an diesen Trägern ist sehr unwahrscheinlich – hohe Gießqualität, die Bewehrung sitzt tief in der Betondeckung.</w:t>
      </w:r>
    </w:p>
    <w:p>
      <w:pPr>
        <w:pStyle w:val="ListParagraph"/>
        <w:numPr>
          <w:ilvl w:val="0"/>
          <w:numId w:val="1"/>
        </w:numPr>
        <w:spacing w:after="60"/>
      </w:pPr>
      <w:r>
        <w:rPr>
          <w:rFonts w:ascii="Calibri" w:cs="Calibri" w:eastAsia="Calibri" w:hAnsi="Calibri"/>
          <w:i w:val="false"/>
          <w:iCs w:val="false"/>
          <w:color w:val="1B2A33"/>
          <w:sz w:val="22"/>
          <w:szCs w:val="22"/>
        </w:rPr>
        <w:t xml:space="preserve">Selbst wenn Wasser durch die Dachhülle eindringt, staut es sich nicht: es kann an anderer Stelle wieder nach unten austreten. Längerfristige Probleme sind dadurch nicht zu erwarten.</w:t>
      </w:r>
    </w:p>
    <w:p>
      <w:pPr>
        <w:pStyle w:val="ListParagraph"/>
        <w:numPr>
          <w:ilvl w:val="0"/>
          <w:numId w:val="1"/>
        </w:numPr>
        <w:spacing w:after="60"/>
      </w:pPr>
      <w:r>
        <w:rPr>
          <w:rFonts w:ascii="Calibri" w:cs="Calibri" w:eastAsia="Calibri" w:hAnsi="Calibri"/>
          <w:i w:val="false"/>
          <w:iCs w:val="false"/>
          <w:color w:val="1B2A33"/>
          <w:sz w:val="22"/>
          <w:szCs w:val="22"/>
        </w:rPr>
        <w:t xml:space="preserve">Dennoch sollte das Dach von Bäumen und Sträuchern befreit und abgedichtet werden. Substanziell ist nichts zu befürchten.</w:t>
      </w:r>
    </w:p>
    <w:p>
      <w:pPr>
        <w:pStyle w:val="Heading2"/>
        <w:spacing w:after="80" w:before="240"/>
      </w:pPr>
      <w:r>
        <w:rPr>
          <w:rFonts w:ascii="Calibri" w:cs="Calibri" w:eastAsia="Calibri" w:hAnsi="Calibri"/>
          <w:b/>
          <w:bCs/>
          <w:color w:val="0B3C54"/>
          <w:sz w:val="25"/>
          <w:szCs w:val="25"/>
        </w:rPr>
        <w:t xml:space="preserve">5. Abgehängte Decke</w:t>
      </w:r>
    </w:p>
    <w:p>
      <w:pPr>
        <w:pStyle w:val="ListParagraph"/>
        <w:numPr>
          <w:ilvl w:val="0"/>
          <w:numId w:val="1"/>
        </w:numPr>
        <w:spacing w:after="60"/>
      </w:pPr>
      <w:r>
        <w:rPr>
          <w:rFonts w:ascii="Calibri" w:cs="Calibri" w:eastAsia="Calibri" w:hAnsi="Calibri"/>
          <w:i w:val="false"/>
          <w:iCs w:val="false"/>
          <w:color w:val="1B2A33"/>
          <w:sz w:val="22"/>
          <w:szCs w:val="22"/>
        </w:rPr>
        <w:t xml:space="preserve">In den letzten Jahren war kaum Korrosion zu sehen, nur oberflächlicher Anflug; ein dramatischer Befund wird nicht erwartet.</w:t>
      </w:r>
    </w:p>
    <w:p>
      <w:pPr>
        <w:pStyle w:val="ListParagraph"/>
        <w:numPr>
          <w:ilvl w:val="0"/>
          <w:numId w:val="1"/>
        </w:numPr>
        <w:spacing w:after="60"/>
      </w:pPr>
      <w:r>
        <w:rPr>
          <w:rFonts w:ascii="Calibri" w:cs="Calibri" w:eastAsia="Calibri" w:hAnsi="Calibri"/>
          <w:i w:val="false"/>
          <w:iCs w:val="false"/>
          <w:color w:val="1B2A33"/>
          <w:sz w:val="22"/>
          <w:szCs w:val="22"/>
        </w:rPr>
        <w:t xml:space="preserve">Das Statikgutachten muss erneuert werden; Herr Späh hat aber keine Bedenken, dass ein Weiterbetrieb möglich ist.</w:t>
      </w:r>
    </w:p>
    <w:p>
      <w:pPr>
        <w:pStyle w:val="Heading2"/>
        <w:spacing w:after="80" w:before="240"/>
      </w:pPr>
      <w:r>
        <w:rPr>
          <w:rFonts w:ascii="Calibri" w:cs="Calibri" w:eastAsia="Calibri" w:hAnsi="Calibri"/>
          <w:b/>
          <w:bCs/>
          <w:color w:val="0B3C54"/>
          <w:sz w:val="25"/>
          <w:szCs w:val="25"/>
        </w:rPr>
        <w:t xml:space="preserve">6. Außenbereich</w:t>
      </w:r>
    </w:p>
    <w:p>
      <w:pPr>
        <w:pStyle w:val="ListParagraph"/>
        <w:numPr>
          <w:ilvl w:val="0"/>
          <w:numId w:val="1"/>
        </w:numPr>
        <w:spacing w:after="60"/>
      </w:pPr>
      <w:r>
        <w:rPr>
          <w:rFonts w:ascii="Calibri" w:cs="Calibri" w:eastAsia="Calibri" w:hAnsi="Calibri"/>
          <w:i w:val="false"/>
          <w:iCs w:val="false"/>
          <w:color w:val="1B2A33"/>
          <w:sz w:val="22"/>
          <w:szCs w:val="22"/>
        </w:rPr>
        <w:t xml:space="preserve">Der Außenbereich macht grundsätzlich einen dem Alter entsprechend guten Eindruck; die Fassade an der Fensterseite ist gut.</w:t>
      </w:r>
    </w:p>
    <w:p>
      <w:pPr>
        <w:pStyle w:val="ListParagraph"/>
        <w:numPr>
          <w:ilvl w:val="0"/>
          <w:numId w:val="1"/>
        </w:numPr>
        <w:spacing w:after="60"/>
      </w:pPr>
      <w:r>
        <w:rPr>
          <w:rFonts w:ascii="Calibri" w:cs="Calibri" w:eastAsia="Calibri" w:hAnsi="Calibri"/>
          <w:i w:val="false"/>
          <w:iCs w:val="false"/>
          <w:color w:val="1B2A33"/>
          <w:sz w:val="22"/>
          <w:szCs w:val="22"/>
        </w:rPr>
        <w:t xml:space="preserve">Die herausplatzenden Fugen sind nicht kritisch: hinten sitzt ein weicherer, vorne ein harter Mörtel – der weiche Mörtel setzt sich in den Klinkerfugen und drückt vorne den harten Mörtel heraus.</w:t>
      </w:r>
    </w:p>
    <w:p>
      <w:pPr>
        <w:pStyle w:val="ListParagraph"/>
        <w:numPr>
          <w:ilvl w:val="0"/>
          <w:numId w:val="1"/>
        </w:numPr>
        <w:spacing w:after="60"/>
      </w:pPr>
      <w:r>
        <w:rPr>
          <w:rFonts w:ascii="Calibri" w:cs="Calibri" w:eastAsia="Calibri" w:hAnsi="Calibri"/>
          <w:i w:val="false"/>
          <w:iCs w:val="false"/>
          <w:color w:val="1B2A33"/>
          <w:sz w:val="22"/>
          <w:szCs w:val="22"/>
        </w:rPr>
        <w:t xml:space="preserve">An der oberen Außenecke im flachen Beckenbereich (Fensterseite) gibt es einige lose Klinkersteine; diese neu vermörteln, am besten mit Mörtelgruppe 2. Lose Fugen entfernen und neu verfugen.</w:t>
      </w:r>
    </w:p>
    <w:p>
      <w:pPr>
        <w:pStyle w:val="ListParagraph"/>
        <w:numPr>
          <w:ilvl w:val="0"/>
          <w:numId w:val="1"/>
        </w:numPr>
        <w:spacing w:after="60"/>
      </w:pPr>
      <w:r>
        <w:rPr>
          <w:rFonts w:ascii="Calibri" w:cs="Calibri" w:eastAsia="Calibri" w:hAnsi="Calibri"/>
          <w:i w:val="false"/>
          <w:iCs w:val="false"/>
          <w:color w:val="1B2A33"/>
          <w:sz w:val="22"/>
          <w:szCs w:val="22"/>
        </w:rPr>
        <w:t xml:space="preserve">Gestrüpp, Bäume und sonstiger Bewuchs – insbesondere Wurzeln – müssen gründlich entfernt werden, damit es nicht zu Aufsprengungen kommt; das Mauerwerk dort ggf. neu vermauern.</w:t>
      </w:r>
    </w:p>
    <w:p>
      <w:pPr>
        <w:pStyle w:val="ListParagraph"/>
        <w:numPr>
          <w:ilvl w:val="0"/>
          <w:numId w:val="1"/>
        </w:numPr>
        <w:spacing w:after="60"/>
      </w:pPr>
      <w:r>
        <w:rPr>
          <w:rFonts w:ascii="Calibri" w:cs="Calibri" w:eastAsia="Calibri" w:hAnsi="Calibri"/>
          <w:i w:val="false"/>
          <w:iCs w:val="false"/>
          <w:color w:val="1B2A33"/>
          <w:sz w:val="22"/>
          <w:szCs w:val="22"/>
        </w:rPr>
        <w:t xml:space="preserve">Ansonsten sind außen keine weiteren Bereiche zu sichern und keine weiteren baulichen Maßnahmen erforderlich.</w:t>
      </w:r>
    </w:p>
    <w:p>
      <w:pPr>
        <w:pStyle w:val="Heading2"/>
        <w:spacing w:after="80" w:before="240"/>
      </w:pPr>
      <w:r>
        <w:rPr>
          <w:rFonts w:ascii="Calibri" w:cs="Calibri" w:eastAsia="Calibri" w:hAnsi="Calibri"/>
          <w:b/>
          <w:bCs/>
          <w:color w:val="0B3C54"/>
          <w:sz w:val="25"/>
          <w:szCs w:val="25"/>
        </w:rPr>
        <w:t xml:space="preserve">7. Überwinterung / Außerbetriebnahme</w:t>
      </w:r>
    </w:p>
    <w:p>
      <w:pPr>
        <w:pStyle w:val="ListParagraph"/>
        <w:numPr>
          <w:ilvl w:val="0"/>
          <w:numId w:val="1"/>
        </w:numPr>
        <w:spacing w:after="60"/>
      </w:pPr>
      <w:r>
        <w:rPr>
          <w:rFonts w:ascii="Calibri" w:cs="Calibri" w:eastAsia="Calibri" w:hAnsi="Calibri"/>
          <w:i w:val="false"/>
          <w:iCs w:val="false"/>
          <w:color w:val="1B2A33"/>
          <w:sz w:val="22"/>
          <w:szCs w:val="22"/>
        </w:rPr>
        <w:t xml:space="preserve">Während der Außerbetriebnahme empfiehlt Herr Späh den Weiterbetrieb der Lüftungsanlage, um die Luftfeuchtigkeit im Rahmen zu halten.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2026-08-29T11:03:03.959Z</dcterms:created>
  <dcterms:modified xsi:type="dcterms:W3CDTF">2026-08-29T11:03:03.971Z</dcterms:modified>
</cp:coreProperties>
</file>

<file path=docProps/custom.xml><?xml version="1.0" encoding="utf-8"?>
<Properties xmlns="http://schemas.openxmlformats.org/officeDocument/2006/custom-properties" xmlns:vt="http://schemas.openxmlformats.org/officeDocument/2006/docPropsVTypes"/>
</file>