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B3C54"/>
          <w:sz w:val="36"/>
          <w:szCs w:val="36"/>
        </w:rPr>
        <w:t xml:space="preserve">Protokoll Kernteam-Sitzung</w:t>
      </w:r>
    </w:p>
    <w:p>
      <w:pPr>
        <w:spacing w:after="150"/>
      </w:pPr>
      <w:r>
        <w:rPr>
          <w:rFonts w:ascii="Calibri" w:cs="Calibri" w:eastAsia="Calibri" w:hAnsi="Calibri"/>
          <w:color w:val="0E6D8F"/>
          <w:sz w:val="23"/>
          <w:szCs w:val="23"/>
        </w:rPr>
        <w:t xml:space="preserve">Projekt Hallenbad Seckenheim</w:t>
      </w:r>
    </w:p>
    <w:p>
      <w:pPr>
        <w:pBdr>
          <w:bottom w:val="single" w:color="0E6D8F" w:sz="6" w:space="6"/>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Calibri" w:cs="Calibri" w:eastAsia="Calibri" w:hAnsi="Calibri"/>
                <w:b/>
                <w:bCs/>
                <w:color w:val="0E6D8F"/>
                <w:sz w:val="21"/>
                <w:szCs w:val="21"/>
              </w:rPr>
              <w:t xml:space="preserve">Datum, Ort</w:t>
            </w:r>
          </w:p>
        </w:tc>
        <w:tc>
          <w:tcPr>
            <w:tcW w:type="dxa" w:w="736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Calibri" w:cs="Calibri" w:eastAsia="Calibri" w:hAnsi="Calibri"/>
                <w:color w:val="1B2A33"/>
                <w:sz w:val="21"/>
                <w:szCs w:val="21"/>
              </w:rPr>
              <w:t xml:space="preserve">2. September 2026, Seckenheim (Kernteam-Sitzung)</w:t>
            </w:r>
          </w:p>
        </w:tc>
      </w:tr>
      <w:tr>
        <w:tc>
          <w:tcPr>
            <w:tcW w:type="dxa" w:w="200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Calibri" w:cs="Calibri" w:eastAsia="Calibri" w:hAnsi="Calibri"/>
                <w:b/>
                <w:bCs/>
                <w:color w:val="0E6D8F"/>
                <w:sz w:val="21"/>
                <w:szCs w:val="21"/>
              </w:rPr>
              <w:t xml:space="preserve">Anwesend</w:t>
            </w:r>
          </w:p>
        </w:tc>
        <w:tc>
          <w:tcPr>
            <w:tcW w:type="dxa" w:w="736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Calibri" w:cs="Calibri" w:eastAsia="Calibri" w:hAnsi="Calibri"/>
                <w:color w:val="1B2A33"/>
                <w:sz w:val="21"/>
                <w:szCs w:val="21"/>
              </w:rPr>
              <w:t xml:space="preserve">Alex, Konrad, José, Christian, Martin</w:t>
            </w:r>
          </w:p>
        </w:tc>
      </w:tr>
    </w:tbl>
    <w:p>
      <w:pPr>
        <w:pStyle w:val="Heading2"/>
        <w:spacing w:after="60" w:before="230"/>
      </w:pPr>
      <w:r>
        <w:rPr>
          <w:rFonts w:ascii="Calibri" w:cs="Calibri" w:eastAsia="Calibri" w:hAnsi="Calibri"/>
          <w:b/>
          <w:bCs/>
          <w:color w:val="0B3C54"/>
          <w:sz w:val="25"/>
          <w:szCs w:val="25"/>
        </w:rPr>
        <w:t xml:space="preserve">1. Begehungen – Rückblick &amp; kritische Punkte</w:t>
      </w:r>
    </w:p>
    <w:p>
      <w:pPr>
        <w:pStyle w:val="ListParagraph"/>
        <w:numPr>
          <w:ilvl w:val="0"/>
          <w:numId w:val="1"/>
        </w:numPr>
        <w:spacing w:after="55"/>
      </w:pPr>
      <w:r>
        <w:rPr>
          <w:rFonts w:ascii="Calibri" w:cs="Calibri" w:eastAsia="Calibri" w:hAnsi="Calibri"/>
          <w:color w:val="1B2A33"/>
          <w:sz w:val="22"/>
          <w:szCs w:val="22"/>
        </w:rPr>
        <w:t xml:space="preserve">Statiker (Felix Späh): gute Bausubstanz. Die Abhangdecke ist zeitnah zu prüfen – das Gutachten kostet ca. 5.000 € (Vorfinanzierung / Vor-Gründung des Vereins). Der Sprungturm ist vor einer möglichen Inbetriebnahme zu prüfen; das kann nachgelagert in die Funding-Phase erfolgen, da das Ergebnis entweder eine günstige Sanierung oder ein Rückbau ist.</w:t>
      </w:r>
    </w:p>
    <w:p>
      <w:pPr>
        <w:pStyle w:val="ListParagraph"/>
        <w:numPr>
          <w:ilvl w:val="0"/>
          <w:numId w:val="1"/>
        </w:numPr>
        <w:spacing w:after="55"/>
      </w:pPr>
      <w:r>
        <w:rPr>
          <w:rFonts w:ascii="Calibri" w:cs="Calibri" w:eastAsia="Calibri" w:hAnsi="Calibri"/>
          <w:color w:val="1B2A33"/>
          <w:sz w:val="22"/>
          <w:szCs w:val="22"/>
        </w:rPr>
        <w:t xml:space="preserve">Badberater (Patrick Berndt): insgesamt sehr positiv. Zeitnah bzw. kritisch:</w:t>
      </w:r>
    </w:p>
    <w:p>
      <w:pPr>
        <w:pStyle w:val="ListParagraph"/>
        <w:numPr>
          <w:ilvl w:val="1"/>
          <w:numId w:val="1"/>
        </w:numPr>
        <w:spacing w:after="45"/>
      </w:pPr>
      <w:r>
        <w:rPr>
          <w:rFonts w:ascii="Calibri" w:cs="Calibri" w:eastAsia="Calibri" w:hAnsi="Calibri"/>
          <w:color w:val="1B2A33"/>
          <w:sz w:val="21"/>
          <w:szCs w:val="21"/>
        </w:rPr>
        <w:t xml:space="preserve">Chlorgas-Warnanlage (ca. 5.000 €) – muss direkt umgesetzt werden; erfolgt nach dem Fundraising mit der Inbetriebnahme.</w:t>
      </w:r>
    </w:p>
    <w:p>
      <w:pPr>
        <w:pStyle w:val="ListParagraph"/>
        <w:numPr>
          <w:ilvl w:val="1"/>
          <w:numId w:val="1"/>
        </w:numPr>
        <w:spacing w:after="45"/>
      </w:pPr>
      <w:r>
        <w:rPr>
          <w:rFonts w:ascii="Calibri" w:cs="Calibri" w:eastAsia="Calibri" w:hAnsi="Calibri"/>
          <w:color w:val="1B2A33"/>
          <w:sz w:val="21"/>
          <w:szCs w:val="21"/>
        </w:rPr>
        <w:t xml:space="preserve">Brandschutz klären wir mit der Stadt Mannheim (Martin); die E-Mail ist heute Morgen raus.</w:t>
      </w:r>
    </w:p>
    <w:p>
      <w:pPr>
        <w:pStyle w:val="ListParagraph"/>
        <w:numPr>
          <w:ilvl w:val="1"/>
          <w:numId w:val="1"/>
        </w:numPr>
        <w:spacing w:after="45"/>
      </w:pPr>
      <w:r>
        <w:rPr>
          <w:rFonts w:ascii="Calibri" w:cs="Calibri" w:eastAsia="Calibri" w:hAnsi="Calibri"/>
          <w:color w:val="1B2A33"/>
          <w:sz w:val="21"/>
          <w:szCs w:val="21"/>
        </w:rPr>
        <w:t xml:space="preserve">Berndt nimmt Kontakt mit dem Gesundheitsamt auf und klärt vorab, was zu ertüchtigen ist.</w:t>
      </w:r>
    </w:p>
    <w:p>
      <w:pPr>
        <w:pStyle w:val="ListParagraph"/>
        <w:numPr>
          <w:ilvl w:val="1"/>
          <w:numId w:val="1"/>
        </w:numPr>
        <w:spacing w:after="45"/>
      </w:pPr>
      <w:r>
        <w:rPr>
          <w:rFonts w:ascii="Calibri" w:cs="Calibri" w:eastAsia="Calibri" w:hAnsi="Calibri"/>
          <w:color w:val="1B2A33"/>
          <w:sz w:val="21"/>
          <w:szCs w:val="21"/>
        </w:rPr>
        <w:t xml:space="preserve">Duschen / Legionellen (Berndts Ideen, überschaubare Kosten): ein endständiger Filter kurz vor den Duschen, alternativ eine Heißspülung oder eine Chlordioxid-Dosierung in die Leitung – mit dem Gesundheitsamt abzustimmen.</w:t>
      </w:r>
    </w:p>
    <w:p>
      <w:pPr>
        <w:pStyle w:val="Heading2"/>
        <w:spacing w:after="60" w:before="230"/>
      </w:pPr>
      <w:r>
        <w:rPr>
          <w:rFonts w:ascii="Calibri" w:cs="Calibri" w:eastAsia="Calibri" w:hAnsi="Calibri"/>
          <w:b/>
          <w:bCs/>
          <w:color w:val="0B3C54"/>
          <w:sz w:val="25"/>
          <w:szCs w:val="25"/>
        </w:rPr>
        <w:t xml:space="preserve">2. Dach – offene Entscheidung</w:t>
      </w:r>
    </w:p>
    <w:p>
      <w:pPr>
        <w:pStyle w:val="ListParagraph"/>
        <w:numPr>
          <w:ilvl w:val="0"/>
          <w:numId w:val="1"/>
        </w:numPr>
        <w:spacing w:after="55"/>
      </w:pPr>
      <w:r>
        <w:rPr>
          <w:rFonts w:ascii="Calibri" w:cs="Calibri" w:eastAsia="Calibri" w:hAnsi="Calibri"/>
          <w:color w:val="1B2A33"/>
          <w:sz w:val="22"/>
          <w:szCs w:val="22"/>
        </w:rPr>
        <w:t xml:space="preserve">Laut Statiker ist die Spannbeton-Dachkonstruktion so geschützt, dass eintretendes Wasser keine Gefährdung fürs Dach darstellt. Die Abdichtung kann daher geschoben werden: kurzfristig genügt eine notdürftige Lösung – die Oberlichter abdichten und die größten Löcher mit Bitumenstreifen stopfen, um den größten Wassereintritt zu stoppen. Ein unmittelbares Risiko für die Dachkonstruktion besteht nicht.</w:t>
      </w:r>
    </w:p>
    <w:p>
      <w:pPr>
        <w:pStyle w:val="Heading2"/>
        <w:spacing w:after="60" w:before="230"/>
      </w:pPr>
      <w:r>
        <w:rPr>
          <w:rFonts w:ascii="Calibri" w:cs="Calibri" w:eastAsia="Calibri" w:hAnsi="Calibri"/>
          <w:b/>
          <w:bCs/>
          <w:color w:val="0B3C54"/>
          <w:sz w:val="25"/>
          <w:szCs w:val="25"/>
        </w:rPr>
        <w:t xml:space="preserve">3. Rechtsform: Verein vs. gGmbH – Tendenz Verein</w:t>
      </w:r>
    </w:p>
    <w:p>
      <w:pPr>
        <w:pStyle w:val="ListParagraph"/>
        <w:numPr>
          <w:ilvl w:val="0"/>
          <w:numId w:val="1"/>
        </w:numPr>
        <w:spacing w:after="55"/>
      </w:pPr>
      <w:r>
        <w:rPr>
          <w:rFonts w:ascii="Calibri" w:cs="Calibri" w:eastAsia="Calibri" w:hAnsi="Calibri"/>
          <w:color w:val="1B2A33"/>
          <w:sz w:val="22"/>
          <w:szCs w:val="22"/>
        </w:rPr>
        <w:t xml:space="preserve">Mitglieder-Versicherung über den Badischen Gemeindeversicherungsverband (BGV) möglich – noch abzuklären.</w:t>
      </w:r>
    </w:p>
    <w:p>
      <w:pPr>
        <w:pStyle w:val="ListParagraph"/>
        <w:numPr>
          <w:ilvl w:val="0"/>
          <w:numId w:val="1"/>
        </w:numPr>
        <w:spacing w:after="55"/>
      </w:pPr>
      <w:r>
        <w:rPr>
          <w:rFonts w:ascii="Calibri" w:cs="Calibri" w:eastAsia="Calibri" w:hAnsi="Calibri"/>
          <w:color w:val="1B2A33"/>
          <w:sz w:val="22"/>
          <w:szCs w:val="22"/>
        </w:rPr>
        <w:t xml:space="preserve">Etwas höhere Flexibilität bei Wechseln in der Führung.</w:t>
      </w:r>
    </w:p>
    <w:p>
      <w:pPr>
        <w:pStyle w:val="ListParagraph"/>
        <w:numPr>
          <w:ilvl w:val="0"/>
          <w:numId w:val="1"/>
        </w:numPr>
        <w:spacing w:after="55"/>
      </w:pPr>
      <w:r>
        <w:rPr>
          <w:rFonts w:ascii="Calibri" w:cs="Calibri" w:eastAsia="Calibri" w:hAnsi="Calibri"/>
          <w:color w:val="1B2A33"/>
          <w:sz w:val="22"/>
          <w:szCs w:val="22"/>
        </w:rPr>
        <w:t xml:space="preserve">Nebentätigkeit: Die Anmeldung einer Nebentätigkeit beim Arbeitgeber ist kritisch, wenn man eine Geschäftsführerrolle (GmbH) übernimmt – ein Vereinsehrenamt ist unkritischer (wir sind alle Arbeitnehmer).</w:t>
      </w:r>
    </w:p>
    <w:p>
      <w:pPr>
        <w:pStyle w:val="ListParagraph"/>
        <w:numPr>
          <w:ilvl w:val="0"/>
          <w:numId w:val="1"/>
        </w:numPr>
        <w:spacing w:after="55"/>
      </w:pPr>
      <w:r>
        <w:rPr>
          <w:rFonts w:ascii="Calibri" w:cs="Calibri" w:eastAsia="Calibri" w:hAnsi="Calibri"/>
          <w:color w:val="1B2A33"/>
          <w:sz w:val="22"/>
          <w:szCs w:val="22"/>
        </w:rPr>
        <w:t xml:space="preserve">Ein Verein wird ohnehin in jedem Fall gebraucht – auch bei einer GmbH-Lösung.</w:t>
      </w:r>
    </w:p>
    <w:p>
      <w:pPr>
        <w:pStyle w:val="ListParagraph"/>
        <w:numPr>
          <w:ilvl w:val="0"/>
          <w:numId w:val="1"/>
        </w:numPr>
        <w:spacing w:after="55"/>
      </w:pPr>
      <w:r>
        <w:rPr>
          <w:rFonts w:ascii="Calibri" w:cs="Calibri" w:eastAsia="Calibri" w:hAnsi="Calibri"/>
          <w:color w:val="1B2A33"/>
          <w:sz w:val="22"/>
          <w:szCs w:val="22"/>
        </w:rPr>
        <w:t xml:space="preserve">Haftungsprivileg nach § 31a BGB (Organe/Vorstände) bzw. § 31b BGB (Mitglieder): Haftung nur bei Vorsatz oder grober Fahrlässigkeit, sofern die Jahresvergütung 3.300 € nicht übersteigt (seit 01.01.2026 angehoben von zuvor 840 €).</w:t>
      </w:r>
    </w:p>
    <w:p>
      <w:pPr>
        <w:pStyle w:val="Heading2"/>
        <w:spacing w:after="60" w:before="230"/>
      </w:pPr>
      <w:r>
        <w:rPr>
          <w:rFonts w:ascii="Calibri" w:cs="Calibri" w:eastAsia="Calibri" w:hAnsi="Calibri"/>
          <w:b/>
          <w:bCs/>
          <w:color w:val="0B3C54"/>
          <w:sz w:val="25"/>
          <w:szCs w:val="25"/>
        </w:rPr>
        <w:t xml:space="preserve">4. Vereinsstruktur &amp; Mitglieder</w:t>
      </w:r>
    </w:p>
    <w:p>
      <w:pPr>
        <w:pStyle w:val="ListParagraph"/>
        <w:numPr>
          <w:ilvl w:val="0"/>
          <w:numId w:val="1"/>
        </w:numPr>
        <w:spacing w:after="55"/>
      </w:pPr>
      <w:r>
        <w:rPr>
          <w:rFonts w:ascii="Calibri" w:cs="Calibri" w:eastAsia="Calibri" w:hAnsi="Calibri"/>
          <w:color w:val="1B2A33"/>
          <w:sz w:val="22"/>
          <w:szCs w:val="22"/>
        </w:rPr>
        <w:t xml:space="preserve">Stimmberechtigte Kernmitglieder sowie reine Fördermitglieder. Fördermitglieder treten gegen eine nominelle monatliche Gebühr ein und können z. B. Bahnzeiten buchen.</w:t>
      </w:r>
    </w:p>
    <w:p>
      <w:pPr>
        <w:pStyle w:val="ListParagraph"/>
        <w:numPr>
          <w:ilvl w:val="0"/>
          <w:numId w:val="1"/>
        </w:numPr>
        <w:spacing w:after="55"/>
      </w:pPr>
      <w:r>
        <w:rPr>
          <w:rFonts w:ascii="Calibri" w:cs="Calibri" w:eastAsia="Calibri" w:hAnsi="Calibri"/>
          <w:color w:val="1B2A33"/>
          <w:sz w:val="22"/>
          <w:szCs w:val="22"/>
        </w:rPr>
        <w:t xml:space="preserve">Das ergänzt das Betriebsmodell neben dem Schlüsseldienst mit den Vereinen.</w:t>
      </w:r>
    </w:p>
    <w:p>
      <w:pPr>
        <w:pStyle w:val="ListParagraph"/>
        <w:numPr>
          <w:ilvl w:val="0"/>
          <w:numId w:val="1"/>
        </w:numPr>
        <w:spacing w:after="55"/>
      </w:pPr>
      <w:r>
        <w:rPr>
          <w:rFonts w:ascii="Calibri" w:cs="Calibri" w:eastAsia="Calibri" w:hAnsi="Calibri"/>
          <w:color w:val="1B2A33"/>
          <w:sz w:val="22"/>
          <w:szCs w:val="22"/>
        </w:rPr>
        <w:t xml:space="preserve">Für die Gründung des Kernvereins werden noch einige weitere Mitstreiter benötigt.</w:t>
      </w:r>
    </w:p>
    <w:p>
      <w:pPr>
        <w:pStyle w:val="Heading2"/>
        <w:spacing w:after="60" w:before="230"/>
      </w:pPr>
      <w:r>
        <w:rPr>
          <w:rFonts w:ascii="Calibri" w:cs="Calibri" w:eastAsia="Calibri" w:hAnsi="Calibri"/>
          <w:b/>
          <w:bCs/>
          <w:color w:val="0B3C54"/>
          <w:sz w:val="25"/>
          <w:szCs w:val="25"/>
        </w:rPr>
        <w:t xml:space="preserve">5. Belegung / Commitments</w:t>
      </w:r>
    </w:p>
    <w:p>
      <w:pPr>
        <w:pStyle w:val="ListParagraph"/>
        <w:numPr>
          <w:ilvl w:val="0"/>
          <w:numId w:val="1"/>
        </w:numPr>
        <w:spacing w:after="55"/>
      </w:pPr>
      <w:r>
        <w:rPr>
          <w:rFonts w:ascii="Calibri" w:cs="Calibri" w:eastAsia="Calibri" w:hAnsi="Calibri"/>
          <w:color w:val="1B2A33"/>
          <w:sz w:val="22"/>
          <w:szCs w:val="22"/>
        </w:rPr>
        <w:t xml:space="preserve">Vorläufiges Commitment für ca. 120 von rund 560 möglichen Bahnenstunden pro Woche (entspricht ca. 150.000 € Gegenwert bei benötigten ca. 300.000 €).</w:t>
      </w:r>
    </w:p>
    <w:p>
      <w:pPr>
        <w:pStyle w:val="ListParagraph"/>
        <w:numPr>
          <w:ilvl w:val="0"/>
          <w:numId w:val="1"/>
        </w:numPr>
        <w:spacing w:after="55"/>
      </w:pPr>
      <w:r>
        <w:rPr>
          <w:rFonts w:ascii="Calibri" w:cs="Calibri" w:eastAsia="Calibri" w:hAnsi="Calibri"/>
          <w:color w:val="1B2A33"/>
          <w:sz w:val="22"/>
          <w:szCs w:val="22"/>
        </w:rPr>
        <w:t xml:space="preserve">Noch ausstehend: Seckenheimer Schulen, TSG Seckenheim, Privatschulen und weitere Vereine.</w:t>
      </w:r>
    </w:p>
    <w:p>
      <w:pPr>
        <w:pStyle w:val="ListParagraph"/>
        <w:numPr>
          <w:ilvl w:val="0"/>
          <w:numId w:val="1"/>
        </w:numPr>
        <w:spacing w:after="55"/>
      </w:pPr>
      <w:r>
        <w:rPr>
          <w:rFonts w:ascii="Calibri" w:cs="Calibri" w:eastAsia="Calibri" w:hAnsi="Calibri"/>
          <w:color w:val="1B2A33"/>
          <w:sz w:val="22"/>
          <w:szCs w:val="22"/>
        </w:rPr>
        <w:t xml:space="preserve">Zeiten derzeit über Morgen- und Abendstunden verteilt, mit vielen Lücken – hier ist nachzuhaken.</w:t>
      </w:r>
    </w:p>
    <w:p>
      <w:pPr>
        <w:pStyle w:val="ListParagraph"/>
        <w:numPr>
          <w:ilvl w:val="0"/>
          <w:numId w:val="1"/>
        </w:numPr>
        <w:spacing w:after="55"/>
      </w:pPr>
      <w:r>
        <w:rPr>
          <w:rFonts w:ascii="Calibri" w:cs="Calibri" w:eastAsia="Calibri" w:hAnsi="Calibri"/>
          <w:color w:val="1B2A33"/>
          <w:sz w:val="22"/>
          <w:szCs w:val="22"/>
        </w:rPr>
        <w:t xml:space="preserve">Kommunizierter Preis: 28 € pro Bahnenstunde; bei zu geringem Interesse ggf. Richtung 30 €.</w:t>
      </w:r>
    </w:p>
    <w:p>
      <w:pPr>
        <w:pStyle w:val="Heading2"/>
        <w:spacing w:after="60" w:before="230"/>
      </w:pPr>
      <w:r>
        <w:rPr>
          <w:rFonts w:ascii="Calibri" w:cs="Calibri" w:eastAsia="Calibri" w:hAnsi="Calibri"/>
          <w:b/>
          <w:bCs/>
          <w:color w:val="0B3C54"/>
          <w:sz w:val="25"/>
          <w:szCs w:val="25"/>
        </w:rPr>
        <w:t xml:space="preserve">6. Team &amp; Rollen (vorläufig)</w:t>
      </w:r>
    </w:p>
    <w:p>
      <w:pPr>
        <w:pStyle w:val="ListParagraph"/>
        <w:numPr>
          <w:ilvl w:val="0"/>
          <w:numId w:val="1"/>
        </w:numPr>
        <w:spacing w:after="55"/>
      </w:pPr>
      <w:r>
        <w:rPr>
          <w:rFonts w:ascii="Calibri" w:cs="Calibri" w:eastAsia="Calibri" w:hAnsi="Calibri"/>
          <w:color w:val="1B2A33"/>
          <w:sz w:val="22"/>
          <w:szCs w:val="22"/>
        </w:rPr>
        <w:t xml:space="preserve">Insgesamt werden noch etwa 15–20 weitere Leute gebraucht, um das Projekt breiter aufzustellen.</w:t>
      </w:r>
    </w:p>
    <w:p>
      <w:pPr>
        <w:pStyle w:val="ListParagraph"/>
        <w:numPr>
          <w:ilvl w:val="0"/>
          <w:numId w:val="1"/>
        </w:numPr>
        <w:spacing w:after="55"/>
      </w:pPr>
      <w:r>
        <w:rPr>
          <w:rFonts w:ascii="Calibri" w:cs="Calibri" w:eastAsia="Calibri" w:hAnsi="Calibri"/>
          <w:color w:val="1B2A33"/>
          <w:sz w:val="22"/>
          <w:szCs w:val="22"/>
        </w:rPr>
        <w:t xml:space="preserve">Martin: Liaison mit der Stadt Mannheim; Schulungen/Unterweisungen; Personal.</w:t>
      </w:r>
    </w:p>
    <w:p>
      <w:pPr>
        <w:pStyle w:val="ListParagraph"/>
        <w:numPr>
          <w:ilvl w:val="0"/>
          <w:numId w:val="1"/>
        </w:numPr>
        <w:spacing w:after="55"/>
      </w:pPr>
      <w:r>
        <w:rPr>
          <w:rFonts w:ascii="Calibri" w:cs="Calibri" w:eastAsia="Calibri" w:hAnsi="Calibri"/>
          <w:color w:val="1B2A33"/>
          <w:sz w:val="22"/>
          <w:szCs w:val="22"/>
        </w:rPr>
        <w:t xml:space="preserve">Christian: Verträge &amp; Compliance.</w:t>
      </w:r>
    </w:p>
    <w:p>
      <w:pPr>
        <w:pStyle w:val="ListParagraph"/>
        <w:numPr>
          <w:ilvl w:val="0"/>
          <w:numId w:val="1"/>
        </w:numPr>
        <w:spacing w:after="55"/>
      </w:pPr>
      <w:r>
        <w:rPr>
          <w:rFonts w:ascii="Calibri" w:cs="Calibri" w:eastAsia="Calibri" w:hAnsi="Calibri"/>
          <w:color w:val="1B2A33"/>
          <w:sz w:val="22"/>
          <w:szCs w:val="22"/>
        </w:rPr>
        <w:t xml:space="preserve">Alex (mit Elisabeth): Mitglieder; ggf. Sponsoring und Unterstützung durch Stiftungen / gemeinnützige Organisationen (z. B. Hopp-Stiftung).</w:t>
      </w:r>
    </w:p>
    <w:p>
      <w:pPr>
        <w:pStyle w:val="ListParagraph"/>
        <w:numPr>
          <w:ilvl w:val="0"/>
          <w:numId w:val="1"/>
        </w:numPr>
        <w:spacing w:after="55"/>
      </w:pPr>
      <w:r>
        <w:rPr>
          <w:rFonts w:ascii="Calibri" w:cs="Calibri" w:eastAsia="Calibri" w:hAnsi="Calibri"/>
          <w:color w:val="1B2A33"/>
          <w:sz w:val="22"/>
          <w:szCs w:val="22"/>
        </w:rPr>
        <w:t xml:space="preserve">Eugen: perspektivisch Finanzen.</w:t>
      </w:r>
    </w:p>
    <w:p>
      <w:pPr>
        <w:pStyle w:val="ListParagraph"/>
        <w:numPr>
          <w:ilvl w:val="0"/>
          <w:numId w:val="1"/>
        </w:numPr>
        <w:spacing w:after="55"/>
      </w:pPr>
      <w:r>
        <w:rPr>
          <w:rFonts w:ascii="Calibri" w:cs="Calibri" w:eastAsia="Calibri" w:hAnsi="Calibri"/>
          <w:color w:val="1B2A33"/>
          <w:sz w:val="22"/>
          <w:szCs w:val="22"/>
        </w:rPr>
        <w:t xml:space="preserve">Konrad &amp; José: Technik – Prozessleittechnik und Prozesstechnik allgemein.</w:t>
      </w:r>
    </w:p>
    <w:p>
      <w:pPr>
        <w:pStyle w:val="ListParagraph"/>
        <w:numPr>
          <w:ilvl w:val="0"/>
          <w:numId w:val="1"/>
        </w:numPr>
        <w:spacing w:after="55"/>
      </w:pPr>
      <w:r>
        <w:rPr>
          <w:rFonts w:ascii="Calibri" w:cs="Calibri" w:eastAsia="Calibri" w:hAnsi="Calibri"/>
          <w:color w:val="1B2A33"/>
          <w:sz w:val="22"/>
          <w:szCs w:val="22"/>
        </w:rPr>
        <w:t xml:space="preserve">Finn (sobald zurück): Mitglieder-/Mitarbeitersoftware.</w:t>
      </w:r>
    </w:p>
    <w:p>
      <w:pPr>
        <w:pStyle w:val="Heading2"/>
        <w:spacing w:after="60" w:before="230"/>
      </w:pPr>
      <w:r>
        <w:rPr>
          <w:rFonts w:ascii="Calibri" w:cs="Calibri" w:eastAsia="Calibri" w:hAnsi="Calibri"/>
          <w:b/>
          <w:bCs/>
          <w:color w:val="0B3C54"/>
          <w:sz w:val="25"/>
          <w:szCs w:val="25"/>
        </w:rPr>
        <w:t xml:space="preserve">7. Zeitplan Inbetriebnahme</w:t>
      </w:r>
    </w:p>
    <w:p>
      <w:pPr>
        <w:pStyle w:val="ListParagraph"/>
        <w:numPr>
          <w:ilvl w:val="0"/>
          <w:numId w:val="1"/>
        </w:numPr>
        <w:spacing w:after="55"/>
      </w:pPr>
      <w:r>
        <w:rPr>
          <w:rFonts w:ascii="Calibri" w:cs="Calibri" w:eastAsia="Calibri" w:hAnsi="Calibri"/>
          <w:color w:val="1B2A33"/>
          <w:sz w:val="22"/>
          <w:szCs w:val="22"/>
        </w:rPr>
        <w:t xml:space="preserve">Eine Öffnung im Laufe des Januars mit Start Anfang Februar erscheint sinnvoller, als über Weihnachten vorzubereiten und zum 1. Januar zu starten (Timing über die Feiertage ungünstig). Bei gesichertem Funding zweitrangig.</w:t>
      </w:r>
    </w:p>
    <w:p>
      <w:pPr>
        <w:pStyle w:val="Heading2"/>
        <w:spacing w:after="60" w:before="230"/>
      </w:pPr>
      <w:r>
        <w:rPr>
          <w:rFonts w:ascii="Calibri" w:cs="Calibri" w:eastAsia="Calibri" w:hAnsi="Calibri"/>
          <w:b/>
          <w:bCs/>
          <w:color w:val="0B3C54"/>
          <w:sz w:val="25"/>
          <w:szCs w:val="25"/>
        </w:rPr>
        <w:t xml:space="preserve">8. Weiterbetrieb &amp; Stadt</w:t>
      </w:r>
    </w:p>
    <w:p>
      <w:pPr>
        <w:pStyle w:val="ListParagraph"/>
        <w:numPr>
          <w:ilvl w:val="0"/>
          <w:numId w:val="1"/>
        </w:numPr>
        <w:spacing w:after="55"/>
      </w:pPr>
      <w:r>
        <w:rPr>
          <w:rFonts w:ascii="Calibri" w:cs="Calibri" w:eastAsia="Calibri" w:hAnsi="Calibri"/>
          <w:color w:val="1B2A33"/>
          <w:sz w:val="22"/>
          <w:szCs w:val="22"/>
        </w:rPr>
        <w:t xml:space="preserve">Die Stadt sichert den momentanen Weiterbetrieb voraussichtlich ab: Es ist gut möglich, dass sie die Stromkosten für Oktober bis Dezember übernimmt. Damit laufen Pumpen- und Lüftungstechnik weiter und das Bad muss nicht abgeschaltet werden.</w:t>
      </w:r>
    </w:p>
    <w:p>
      <w:pPr>
        <w:pStyle w:val="Heading2"/>
        <w:spacing w:after="60" w:before="230"/>
      </w:pPr>
      <w:r>
        <w:rPr>
          <w:rFonts w:ascii="Calibri" w:cs="Calibri" w:eastAsia="Calibri" w:hAnsi="Calibri"/>
          <w:b/>
          <w:bCs/>
          <w:color w:val="0B3C54"/>
          <w:sz w:val="25"/>
          <w:szCs w:val="25"/>
        </w:rPr>
        <w:t xml:space="preserve">9. Gründung &amp; Prefunding</w:t>
      </w:r>
    </w:p>
    <w:p>
      <w:pPr>
        <w:pStyle w:val="ListParagraph"/>
        <w:numPr>
          <w:ilvl w:val="0"/>
          <w:numId w:val="1"/>
        </w:numPr>
        <w:spacing w:after="55"/>
      </w:pPr>
      <w:r>
        <w:rPr>
          <w:rFonts w:ascii="Calibri" w:cs="Calibri" w:eastAsia="Calibri" w:hAnsi="Calibri"/>
          <w:color w:val="1B2A33"/>
          <w:sz w:val="22"/>
          <w:szCs w:val="22"/>
        </w:rPr>
        <w:t xml:space="preserve">Die Vereinsgründung sollte jetzt angestoßen werden; zugleich wird etwas Prefunding gebraucht, um Deckengutachten und Gründung zu finanzieren. Wie wir kurzfristig etwas Geld einsammeln, ist noch zu besprechen.</w:t>
      </w:r>
    </w:p>
    <w:p>
      <w:pPr>
        <w:pStyle w:val="Heading2"/>
        <w:spacing w:after="60" w:before="230"/>
      </w:pPr>
      <w:r>
        <w:rPr>
          <w:rFonts w:ascii="Calibri" w:cs="Calibri" w:eastAsia="Calibri" w:hAnsi="Calibri"/>
          <w:b/>
          <w:bCs/>
          <w:color w:val="0B3C54"/>
          <w:sz w:val="25"/>
          <w:szCs w:val="25"/>
        </w:rPr>
        <w:t xml:space="preserve">10. Aufgaben für die nächsten Wochen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7D3D9" w:sz="4"/>
              <w:left w:val="single" w:color="C7D3D9" w:sz="4"/>
              <w:bottom w:val="single" w:color="C7D3D9" w:sz="4"/>
              <w:right w:val="single" w:color="C7D3D9" w:sz="4"/>
            </w:tcBorders>
            <w:shd w:fill="0E6D8F" w:color="auto" w:val="clear"/>
            <w:tcMar>
              <w:top w:type="dxa" w:w="60"/>
              <w:left w:type="dxa" w:w="120"/>
              <w:bottom w:type="dxa" w:w="60"/>
              <w:right w:type="dxa" w:w="120"/>
            </w:tcMar>
          </w:tcPr>
          <w:p>
            <w:r>
              <w:rPr>
                <w:rFonts w:ascii="Calibri" w:cs="Calibri" w:eastAsia="Calibri" w:hAnsi="Calibri"/>
                <w:b/>
                <w:bCs/>
                <w:color w:val="FFFFFF"/>
                <w:sz w:val="20"/>
                <w:szCs w:val="20"/>
              </w:rPr>
              <w:t xml:space="preserve">Wer</w:t>
            </w:r>
          </w:p>
        </w:tc>
        <w:tc>
          <w:tcPr>
            <w:tcW w:type="dxa" w:w="7160"/>
            <w:tcBorders>
              <w:top w:val="single" w:color="C7D3D9" w:sz="4"/>
              <w:left w:val="single" w:color="C7D3D9" w:sz="4"/>
              <w:bottom w:val="single" w:color="C7D3D9" w:sz="4"/>
              <w:right w:val="single" w:color="C7D3D9" w:sz="4"/>
            </w:tcBorders>
            <w:shd w:fill="0E6D8F" w:color="auto" w:val="clear"/>
            <w:tcMar>
              <w:top w:type="dxa" w:w="60"/>
              <w:left w:type="dxa" w:w="120"/>
              <w:bottom w:type="dxa" w:w="60"/>
              <w:right w:type="dxa" w:w="120"/>
            </w:tcMar>
          </w:tcPr>
          <w:p>
            <w:r>
              <w:rPr>
                <w:rFonts w:ascii="Calibri" w:cs="Calibri" w:eastAsia="Calibri" w:hAnsi="Calibri"/>
                <w:b/>
                <w:bCs/>
                <w:color w:val="FFFFFF"/>
                <w:sz w:val="20"/>
                <w:szCs w:val="20"/>
              </w:rPr>
              <w:t xml:space="preserve">Aufgabe</w:t>
            </w:r>
          </w:p>
        </w:tc>
      </w:tr>
      <w:tr>
        <w:tc>
          <w:tcPr>
            <w:tcW w:type="dxa" w:w="2200"/>
            <w:tcBorders>
              <w:top w:val="single" w:color="C7D3D9" w:sz="4"/>
              <w:left w:val="single" w:color="C7D3D9" w:sz="4"/>
              <w:bottom w:val="single" w:color="C7D3D9" w:sz="4"/>
              <w:right w:val="single" w:color="C7D3D9" w:sz="4"/>
            </w:tcBorders>
            <w:tcMar>
              <w:top w:type="dxa" w:w="55"/>
              <w:left w:type="dxa" w:w="120"/>
              <w:bottom w:type="dxa" w:w="55"/>
              <w:right w:type="dxa" w:w="120"/>
            </w:tcMar>
          </w:tcPr>
          <w:p>
            <w:r>
              <w:rPr>
                <w:rFonts w:ascii="Calibri" w:cs="Calibri" w:eastAsia="Calibri" w:hAnsi="Calibri"/>
                <w:b/>
                <w:bCs/>
                <w:color w:val="1B2A33"/>
                <w:sz w:val="20"/>
                <w:szCs w:val="20"/>
              </w:rPr>
              <w:t xml:space="preserve">Christian</w:t>
            </w:r>
          </w:p>
        </w:tc>
        <w:tc>
          <w:tcPr>
            <w:tcW w:type="dxa" w:w="7160"/>
            <w:tcBorders>
              <w:top w:val="single" w:color="C7D3D9" w:sz="4"/>
              <w:left w:val="single" w:color="C7D3D9" w:sz="4"/>
              <w:bottom w:val="single" w:color="C7D3D9" w:sz="4"/>
              <w:right w:val="single" w:color="C7D3D9" w:sz="4"/>
            </w:tcBorders>
            <w:tcMar>
              <w:top w:type="dxa" w:w="55"/>
              <w:left w:type="dxa" w:w="120"/>
              <w:bottom w:type="dxa" w:w="55"/>
              <w:right w:type="dxa" w:w="120"/>
            </w:tcMar>
          </w:tcPr>
          <w:p>
            <w:r>
              <w:rPr>
                <w:rFonts w:ascii="Calibri" w:cs="Calibri" w:eastAsia="Calibri" w:hAnsi="Calibri"/>
                <w:b w:val="false"/>
                <w:bCs w:val="false"/>
                <w:color w:val="1B2A33"/>
                <w:sz w:val="20"/>
                <w:szCs w:val="20"/>
              </w:rPr>
              <w:t xml:space="preserve">Herrn Späh kontaktieren und Termine für die Prüfung der Abhangdecke abstimmen</w:t>
            </w:r>
          </w:p>
        </w:tc>
      </w:tr>
      <w:tr>
        <w:tc>
          <w:tcPr>
            <w:tcW w:type="dxa" w:w="2200"/>
            <w:tcBorders>
              <w:top w:val="single" w:color="C7D3D9" w:sz="4"/>
              <w:left w:val="single" w:color="C7D3D9" w:sz="4"/>
              <w:bottom w:val="single" w:color="C7D3D9" w:sz="4"/>
              <w:right w:val="single" w:color="C7D3D9" w:sz="4"/>
            </w:tcBorders>
            <w:shd w:fill="F1F6F8" w:color="auto" w:val="clear"/>
            <w:tcMar>
              <w:top w:type="dxa" w:w="55"/>
              <w:left w:type="dxa" w:w="120"/>
              <w:bottom w:type="dxa" w:w="55"/>
              <w:right w:type="dxa" w:w="120"/>
            </w:tcMar>
          </w:tcPr>
          <w:p>
            <w:r>
              <w:rPr>
                <w:rFonts w:ascii="Calibri" w:cs="Calibri" w:eastAsia="Calibri" w:hAnsi="Calibri"/>
                <w:b/>
                <w:bCs/>
                <w:color w:val="1B2A33"/>
                <w:sz w:val="20"/>
                <w:szCs w:val="20"/>
              </w:rPr>
              <w:t xml:space="preserve">Alex &amp; Elisabeth</w:t>
            </w:r>
          </w:p>
        </w:tc>
        <w:tc>
          <w:tcPr>
            <w:tcW w:type="dxa" w:w="7160"/>
            <w:tcBorders>
              <w:top w:val="single" w:color="C7D3D9" w:sz="4"/>
              <w:left w:val="single" w:color="C7D3D9" w:sz="4"/>
              <w:bottom w:val="single" w:color="C7D3D9" w:sz="4"/>
              <w:right w:val="single" w:color="C7D3D9" w:sz="4"/>
            </w:tcBorders>
            <w:shd w:fill="F1F6F8" w:color="auto" w:val="clear"/>
            <w:tcMar>
              <w:top w:type="dxa" w:w="55"/>
              <w:left w:type="dxa" w:w="120"/>
              <w:bottom w:type="dxa" w:w="55"/>
              <w:right w:type="dxa" w:w="120"/>
            </w:tcMar>
          </w:tcPr>
          <w:p>
            <w:r>
              <w:rPr>
                <w:rFonts w:ascii="Calibri" w:cs="Calibri" w:eastAsia="Calibri" w:hAnsi="Calibri"/>
                <w:b w:val="false"/>
                <w:bCs w:val="false"/>
                <w:color w:val="1B2A33"/>
                <w:sz w:val="20"/>
                <w:szCs w:val="20"/>
              </w:rPr>
              <w:t xml:space="preserve">Interessenparteien erneut ansprechen und klare (Vor-)Commitments einholen; Alex sucht zusätzlich bei den Triathleten nach weiteren Mitstreitern</w:t>
            </w:r>
          </w:p>
        </w:tc>
      </w:tr>
      <w:tr>
        <w:tc>
          <w:tcPr>
            <w:tcW w:type="dxa" w:w="2200"/>
            <w:tcBorders>
              <w:top w:val="single" w:color="C7D3D9" w:sz="4"/>
              <w:left w:val="single" w:color="C7D3D9" w:sz="4"/>
              <w:bottom w:val="single" w:color="C7D3D9" w:sz="4"/>
              <w:right w:val="single" w:color="C7D3D9" w:sz="4"/>
            </w:tcBorders>
            <w:tcMar>
              <w:top w:type="dxa" w:w="55"/>
              <w:left w:type="dxa" w:w="120"/>
              <w:bottom w:type="dxa" w:w="55"/>
              <w:right w:type="dxa" w:w="120"/>
            </w:tcMar>
          </w:tcPr>
          <w:p>
            <w:r>
              <w:rPr>
                <w:rFonts w:ascii="Calibri" w:cs="Calibri" w:eastAsia="Calibri" w:hAnsi="Calibri"/>
                <w:b/>
                <w:bCs/>
                <w:color w:val="1B2A33"/>
                <w:sz w:val="20"/>
                <w:szCs w:val="20"/>
              </w:rPr>
              <w:t xml:space="preserve">Martin</w:t>
            </w:r>
          </w:p>
        </w:tc>
        <w:tc>
          <w:tcPr>
            <w:tcW w:type="dxa" w:w="7160"/>
            <w:tcBorders>
              <w:top w:val="single" w:color="C7D3D9" w:sz="4"/>
              <w:left w:val="single" w:color="C7D3D9" w:sz="4"/>
              <w:bottom w:val="single" w:color="C7D3D9" w:sz="4"/>
              <w:right w:val="single" w:color="C7D3D9" w:sz="4"/>
            </w:tcBorders>
            <w:tcMar>
              <w:top w:type="dxa" w:w="55"/>
              <w:left w:type="dxa" w:w="120"/>
              <w:bottom w:type="dxa" w:w="55"/>
              <w:right w:type="dxa" w:w="120"/>
            </w:tcMar>
          </w:tcPr>
          <w:p>
            <w:r>
              <w:rPr>
                <w:rFonts w:ascii="Calibri" w:cs="Calibri" w:eastAsia="Calibri" w:hAnsi="Calibri"/>
                <w:b w:val="false"/>
                <w:bCs w:val="false"/>
                <w:color w:val="1B2A33"/>
                <w:sz w:val="20"/>
                <w:szCs w:val="20"/>
              </w:rPr>
              <w:t xml:space="preserve">Kevin Wendel (Schwimmschule) ist bereits kontaktiert – Preise / Zahlungsbereitschaft nachhalten</w:t>
            </w:r>
          </w:p>
        </w:tc>
      </w:tr>
      <w:tr>
        <w:tc>
          <w:tcPr>
            <w:tcW w:type="dxa" w:w="2200"/>
            <w:tcBorders>
              <w:top w:val="single" w:color="C7D3D9" w:sz="4"/>
              <w:left w:val="single" w:color="C7D3D9" w:sz="4"/>
              <w:bottom w:val="single" w:color="C7D3D9" w:sz="4"/>
              <w:right w:val="single" w:color="C7D3D9" w:sz="4"/>
            </w:tcBorders>
            <w:shd w:fill="F1F6F8" w:color="auto" w:val="clear"/>
            <w:tcMar>
              <w:top w:type="dxa" w:w="55"/>
              <w:left w:type="dxa" w:w="120"/>
              <w:bottom w:type="dxa" w:w="55"/>
              <w:right w:type="dxa" w:w="120"/>
            </w:tcMar>
          </w:tcPr>
          <w:p>
            <w:r>
              <w:rPr>
                <w:rFonts w:ascii="Calibri" w:cs="Calibri" w:eastAsia="Calibri" w:hAnsi="Calibri"/>
                <w:b/>
                <w:bCs/>
                <w:color w:val="1B2A33"/>
                <w:sz w:val="20"/>
                <w:szCs w:val="20"/>
              </w:rPr>
              <w:t xml:space="preserve">Martin</w:t>
            </w:r>
          </w:p>
        </w:tc>
        <w:tc>
          <w:tcPr>
            <w:tcW w:type="dxa" w:w="7160"/>
            <w:tcBorders>
              <w:top w:val="single" w:color="C7D3D9" w:sz="4"/>
              <w:left w:val="single" w:color="C7D3D9" w:sz="4"/>
              <w:bottom w:val="single" w:color="C7D3D9" w:sz="4"/>
              <w:right w:val="single" w:color="C7D3D9" w:sz="4"/>
            </w:tcBorders>
            <w:shd w:fill="F1F6F8" w:color="auto" w:val="clear"/>
            <w:tcMar>
              <w:top w:type="dxa" w:w="55"/>
              <w:left w:type="dxa" w:w="120"/>
              <w:bottom w:type="dxa" w:w="55"/>
              <w:right w:type="dxa" w:w="120"/>
            </w:tcMar>
          </w:tcPr>
          <w:p>
            <w:r>
              <w:rPr>
                <w:rFonts w:ascii="Calibri" w:cs="Calibri" w:eastAsia="Calibri" w:hAnsi="Calibri"/>
                <w:b w:val="false"/>
                <w:bCs w:val="false"/>
                <w:color w:val="1B2A33"/>
                <w:sz w:val="20"/>
                <w:szCs w:val="20"/>
              </w:rPr>
              <w:t xml:space="preserve">E-Mail an die Stadt Mannheim (Kaliske) ist heute Morgen raus – Bitte um Vertragsentwurf; signalisiert, dass wir Richtung Gründung laufen und bereits ein Deckengutachten einholen</w:t>
            </w:r>
          </w:p>
        </w:tc>
      </w:tr>
      <w:tr>
        <w:tc>
          <w:tcPr>
            <w:tcW w:type="dxa" w:w="2200"/>
            <w:tcBorders>
              <w:top w:val="single" w:color="C7D3D9" w:sz="4"/>
              <w:left w:val="single" w:color="C7D3D9" w:sz="4"/>
              <w:bottom w:val="single" w:color="C7D3D9" w:sz="4"/>
              <w:right w:val="single" w:color="C7D3D9" w:sz="4"/>
            </w:tcBorders>
            <w:tcMar>
              <w:top w:type="dxa" w:w="55"/>
              <w:left w:type="dxa" w:w="120"/>
              <w:bottom w:type="dxa" w:w="55"/>
              <w:right w:type="dxa" w:w="120"/>
            </w:tcMar>
          </w:tcPr>
          <w:p>
            <w:r>
              <w:rPr>
                <w:rFonts w:ascii="Calibri" w:cs="Calibri" w:eastAsia="Calibri" w:hAnsi="Calibri"/>
                <w:b/>
                <w:bCs/>
                <w:color w:val="1B2A33"/>
                <w:sz w:val="20"/>
                <w:szCs w:val="20"/>
              </w:rPr>
              <w:t xml:space="preserve">José</w:t>
            </w:r>
          </w:p>
        </w:tc>
        <w:tc>
          <w:tcPr>
            <w:tcW w:type="dxa" w:w="7160"/>
            <w:tcBorders>
              <w:top w:val="single" w:color="C7D3D9" w:sz="4"/>
              <w:left w:val="single" w:color="C7D3D9" w:sz="4"/>
              <w:bottom w:val="single" w:color="C7D3D9" w:sz="4"/>
              <w:right w:val="single" w:color="C7D3D9" w:sz="4"/>
            </w:tcBorders>
            <w:tcMar>
              <w:top w:type="dxa" w:w="55"/>
              <w:left w:type="dxa" w:w="120"/>
              <w:bottom w:type="dxa" w:w="55"/>
              <w:right w:type="dxa" w:w="120"/>
            </w:tcMar>
          </w:tcPr>
          <w:p>
            <w:r>
              <w:rPr>
                <w:rFonts w:ascii="Calibri" w:cs="Calibri" w:eastAsia="Calibri" w:hAnsi="Calibri"/>
                <w:b w:val="false"/>
                <w:bCs w:val="false"/>
                <w:color w:val="1B2A33"/>
                <w:sz w:val="20"/>
                <w:szCs w:val="20"/>
              </w:rPr>
              <w:t xml:space="preserve">Marketing-/Werbekontakt ansprechen; zusätzlich im Schwimmverein Mannheim nach weiteren Mitstreitern suchen</w:t>
            </w:r>
          </w:p>
        </w:tc>
      </w:tr>
      <w:tr>
        <w:tc>
          <w:tcPr>
            <w:tcW w:type="dxa" w:w="2200"/>
            <w:tcBorders>
              <w:top w:val="single" w:color="C7D3D9" w:sz="4"/>
              <w:left w:val="single" w:color="C7D3D9" w:sz="4"/>
              <w:bottom w:val="single" w:color="C7D3D9" w:sz="4"/>
              <w:right w:val="single" w:color="C7D3D9" w:sz="4"/>
            </w:tcBorders>
            <w:shd w:fill="F1F6F8" w:color="auto" w:val="clear"/>
            <w:tcMar>
              <w:top w:type="dxa" w:w="55"/>
              <w:left w:type="dxa" w:w="120"/>
              <w:bottom w:type="dxa" w:w="55"/>
              <w:right w:type="dxa" w:w="120"/>
            </w:tcMar>
          </w:tcPr>
          <w:p>
            <w:r>
              <w:rPr>
                <w:rFonts w:ascii="Calibri" w:cs="Calibri" w:eastAsia="Calibri" w:hAnsi="Calibri"/>
                <w:b/>
                <w:bCs/>
                <w:color w:val="1B2A33"/>
                <w:sz w:val="20"/>
                <w:szCs w:val="20"/>
              </w:rPr>
              <w:t xml:space="preserve">Finn (sobald zurück)</w:t>
            </w:r>
          </w:p>
        </w:tc>
        <w:tc>
          <w:tcPr>
            <w:tcW w:type="dxa" w:w="7160"/>
            <w:tcBorders>
              <w:top w:val="single" w:color="C7D3D9" w:sz="4"/>
              <w:left w:val="single" w:color="C7D3D9" w:sz="4"/>
              <w:bottom w:val="single" w:color="C7D3D9" w:sz="4"/>
              <w:right w:val="single" w:color="C7D3D9" w:sz="4"/>
            </w:tcBorders>
            <w:shd w:fill="F1F6F8" w:color="auto" w:val="clear"/>
            <w:tcMar>
              <w:top w:type="dxa" w:w="55"/>
              <w:left w:type="dxa" w:w="120"/>
              <w:bottom w:type="dxa" w:w="55"/>
              <w:right w:type="dxa" w:w="120"/>
            </w:tcMar>
          </w:tcPr>
          <w:p>
            <w:r>
              <w:rPr>
                <w:rFonts w:ascii="Calibri" w:cs="Calibri" w:eastAsia="Calibri" w:hAnsi="Calibri"/>
                <w:b w:val="false"/>
                <w:bCs w:val="false"/>
                <w:color w:val="1B2A33"/>
                <w:sz w:val="20"/>
                <w:szCs w:val="20"/>
              </w:rPr>
              <w:t xml:space="preserve">Mitglieder-/Mitarbeitersoftware prüfen und aufsetzen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A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2026-09-03T09:01:23.102Z</dcterms:created>
  <dcterms:modified xsi:type="dcterms:W3CDTF">2026-09-03T09:01:23.121Z</dcterms:modified>
</cp:coreProperties>
</file>

<file path=docProps/custom.xml><?xml version="1.0" encoding="utf-8"?>
<Properties xmlns="http://schemas.openxmlformats.org/officeDocument/2006/custom-properties" xmlns:vt="http://schemas.openxmlformats.org/officeDocument/2006/docPropsVTypes"/>
</file>