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A5173"/>
          <w:sz w:val="36"/>
        </w:rPr>
        <w:t>Fachgruppe Finanzen – Themenliste</w:t>
      </w:r>
    </w:p>
    <w:p>
      <w:pPr>
        <w:spacing w:after="80"/>
      </w:pPr>
      <w:r>
        <w:rPr>
          <w:b w:val="0"/>
          <w:i/>
          <w:color w:val="6B7A82"/>
          <w:sz w:val="18"/>
        </w:rPr>
        <w:t>Sportbad Mannheim (Arbeitstitel) · Schatzmeister/in mit Stellvertretung · Stand Oktober 2026 · grob geschätzter Aufwand ≈ 6 h/Woche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Rolle in einem Satz</w:t>
      </w:r>
    </w:p>
    <w:p>
      <w:r>
        <w:rPr>
          <w:b w:val="0"/>
          <w:i w:val="0"/>
        </w:rPr>
        <w:t xml:space="preserve">Die Fachgruppe Finanzen sorgt für </w:t>
      </w:r>
      <w:r>
        <w:rPr>
          <w:b/>
          <w:i w:val="0"/>
        </w:rPr>
        <w:t>solide Kontoführung, tragfähige Beiträge und günstigen Einkauf</w:t>
      </w:r>
      <w:r>
        <w:rPr>
          <w:b w:val="0"/>
          <w:i w:val="0"/>
        </w:rPr>
        <w:t xml:space="preserve"> – und ist Schnittstelle zu Bank und Steuerberater.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1. Vereinskonto einrichten</w:t>
      </w:r>
      <w:r>
        <w:rPr>
          <w:b/>
          <w:i w:val="0"/>
          <w:color w:val="1C7293"/>
          <w:sz w:val="19"/>
        </w:rPr>
        <w:t xml:space="preserve">   kurzfristig · zur Gründung</w:t>
      </w:r>
    </w:p>
    <w:p>
      <w:pPr>
        <w:pStyle w:val="ListBullet"/>
        <w:spacing w:after="30"/>
      </w:pPr>
      <w:r>
        <w:rPr>
          <w:b/>
          <w:i w:val="0"/>
        </w:rPr>
        <w:t xml:space="preserve">Geeignete Bank und Kontomodell auswählen, </w:t>
      </w:r>
      <w:r>
        <w:rPr>
          <w:b w:val="0"/>
          <w:i w:val="0"/>
        </w:rPr>
        <w:t>das auch künftige Szenarien abdeckt:</w:t>
      </w:r>
    </w:p>
    <w:p>
      <w:pPr>
        <w:pStyle w:val="ListBullet2"/>
        <w:spacing w:after="30"/>
      </w:pPr>
      <w:r>
        <w:rPr>
          <w:b w:val="0"/>
          <w:i w:val="0"/>
        </w:rPr>
        <w:t>Unterkonten möglich, z. B. für einzelne Ressorts oder Zwecke</w:t>
      </w:r>
    </w:p>
    <w:p>
      <w:pPr>
        <w:pStyle w:val="ListBullet2"/>
        <w:spacing w:after="30"/>
      </w:pPr>
      <w:r>
        <w:rPr>
          <w:b w:val="0"/>
          <w:i w:val="0"/>
        </w:rPr>
        <w:t>kompatibel mit elektronischen Buchungstools (Kontoauszüge digital exportierbar)</w:t>
      </w:r>
    </w:p>
    <w:p>
      <w:pPr>
        <w:pStyle w:val="ListBullet2"/>
        <w:spacing w:after="30"/>
      </w:pPr>
      <w:r>
        <w:rPr>
          <w:b w:val="0"/>
          <w:i w:val="0"/>
        </w:rPr>
        <w:t>Online-Spenden und Mitgliedsbeiträge per Lastschrift abwickelbar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Eigenes Spendenkonto für die Startfinanzierung, </w:t>
      </w:r>
      <w:r>
        <w:rPr>
          <w:b w:val="0"/>
          <w:i w:val="0"/>
        </w:rPr>
        <w:t>damit Spenden bei Nichterreichen des Ziels sauber zurückerstattet werden können.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2. Steuerberater identifizieren</w:t>
      </w:r>
      <w:r>
        <w:rPr>
          <w:b/>
          <w:i w:val="0"/>
          <w:color w:val="1C7293"/>
          <w:sz w:val="19"/>
        </w:rPr>
        <w:t xml:space="preserve">   kurzfristig</w:t>
      </w:r>
    </w:p>
    <w:p>
      <w:pPr>
        <w:pStyle w:val="ListBullet"/>
        <w:spacing w:after="30"/>
      </w:pPr>
      <w:r>
        <w:rPr>
          <w:b/>
          <w:i w:val="0"/>
        </w:rPr>
        <w:t xml:space="preserve">Geeigneten Steuerberater auswählen </w:t>
      </w:r>
      <w:r>
        <w:rPr>
          <w:b w:val="0"/>
          <w:i w:val="0"/>
        </w:rPr>
        <w:t>– vorhandene Ideen zusammentragen, möglichst mit Erfahrung in Vereinen und Gemeinnützigkeit.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3. Beitragsmodell</w:t>
      </w:r>
      <w:r>
        <w:rPr>
          <w:b/>
          <w:i w:val="0"/>
          <w:color w:val="1C7293"/>
          <w:sz w:val="19"/>
        </w:rPr>
        <w:t xml:space="preserve">   Vorschlag an den Vorstand</w:t>
      </w:r>
    </w:p>
    <w:p>
      <w:pPr>
        <w:pStyle w:val="ListBullet"/>
        <w:spacing w:after="30"/>
      </w:pPr>
      <w:r>
        <w:rPr>
          <w:b/>
          <w:i w:val="0"/>
        </w:rPr>
        <w:t xml:space="preserve">Mitgliedsbeiträge und Nutzungsentgelte </w:t>
      </w:r>
      <w:r>
        <w:rPr>
          <w:b w:val="0"/>
          <w:i w:val="0"/>
        </w:rPr>
        <w:t>ausarbeiten: Vereinsmieten (Welle 1), Mitgliedschaft im Sportbad Mannheim, Einzelschwimmer (Welle 2) – abgestimmt mit dem Vorstand.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4. Anerkennung für Mitstreiter</w:t>
      </w:r>
      <w:r>
        <w:rPr>
          <w:b/>
          <w:i w:val="0"/>
          <w:color w:val="1C7293"/>
          <w:sz w:val="19"/>
        </w:rPr>
        <w:t xml:space="preserve">   Vorschlag ausarbeiten</w:t>
      </w:r>
    </w:p>
    <w:p>
      <w:pPr>
        <w:pStyle w:val="ListBullet"/>
        <w:spacing w:after="30"/>
      </w:pPr>
      <w:r>
        <w:rPr>
          <w:b/>
          <w:i w:val="0"/>
        </w:rPr>
        <w:t xml:space="preserve">Wie honorieren wir aktive Helfer? </w:t>
      </w:r>
      <w:r>
        <w:rPr>
          <w:b w:val="0"/>
          <w:i w:val="0"/>
        </w:rPr>
        <w:t>z. B. vergünstigtes oder freies Schwimmen im Bad.</w:t>
      </w:r>
    </w:p>
    <w:p>
      <w:pPr>
        <w:pStyle w:val="ListBullet"/>
        <w:spacing w:after="30"/>
      </w:pPr>
      <w:r>
        <w:rPr>
          <w:b/>
          <w:i w:val="0"/>
        </w:rPr>
        <w:t xml:space="preserve">Rahmen klären: </w:t>
      </w:r>
      <w:r>
        <w:rPr>
          <w:b w:val="0"/>
          <w:i w:val="0"/>
        </w:rPr>
        <w:t>mit Gemeinnützigkeit und Vergütungsregel der Satzung (§ 10) vereinbar – mit dem Steuerberater abstimmen.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5. Energieeinkauf</w:t>
      </w:r>
      <w:r>
        <w:rPr>
          <w:b/>
          <w:i w:val="0"/>
          <w:color w:val="1C7293"/>
          <w:sz w:val="19"/>
        </w:rPr>
        <w:t xml:space="preserve">   Gas und Strom</w:t>
      </w:r>
    </w:p>
    <w:p>
      <w:pPr>
        <w:pStyle w:val="ListBullet"/>
        <w:spacing w:after="30"/>
      </w:pPr>
      <w:r>
        <w:rPr>
          <w:b/>
          <w:i w:val="0"/>
        </w:rPr>
        <w:t xml:space="preserve">Einkaufsmöglichkeiten prüfen: </w:t>
      </w:r>
      <w:r>
        <w:rPr>
          <w:b w:val="0"/>
          <w:i w:val="0"/>
        </w:rPr>
        <w:t>Rahmen-/Mantelverträge für Gas und Strom, Einkaufsgemeinschaften.</w:t>
      </w:r>
    </w:p>
    <w:p>
      <w:pPr>
        <w:pStyle w:val="ListBullet"/>
        <w:spacing w:after="30"/>
      </w:pPr>
      <w:r>
        <w:rPr>
          <w:b/>
          <w:i w:val="0"/>
        </w:rPr>
        <w:t xml:space="preserve">Preisrisiko absichern (Hedging): </w:t>
      </w:r>
      <w:r>
        <w:rPr>
          <w:b w:val="0"/>
          <w:i w:val="0"/>
        </w:rPr>
        <w:t>z. B. Festpreis oder Teilmengen gestaffelt über mehrere Zeitpunkte einkaufen statt alles zum Tagespreis.</w:t>
      </w:r>
    </w:p>
    <w:p>
      <w:pPr>
        <w:pStyle w:val="ListBullet"/>
        <w:spacing w:after="30"/>
      </w:pPr>
      <w:r>
        <w:rPr>
          <w:b/>
          <w:i w:val="0"/>
        </w:rPr>
        <w:t xml:space="preserve">Mit der MVV verhandeln, </w:t>
      </w:r>
      <w:r>
        <w:rPr>
          <w:b w:val="0"/>
          <w:i w:val="0"/>
        </w:rPr>
        <w:t>um bessere Konditionen zu erreichen.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6. Laufende Finanzen</w:t>
      </w:r>
      <w:r>
        <w:rPr>
          <w:b/>
          <w:i w:val="0"/>
          <w:color w:val="1C7293"/>
          <w:sz w:val="19"/>
        </w:rPr>
        <w:t xml:space="preserve">   ab Gründung</w:t>
      </w:r>
    </w:p>
    <w:p>
      <w:pPr>
        <w:pStyle w:val="ListBullet"/>
        <w:spacing w:after="30"/>
      </w:pPr>
      <w:r>
        <w:rPr>
          <w:b/>
          <w:i w:val="0"/>
        </w:rPr>
        <w:t xml:space="preserve">Buchhaltung und Zahlungsverkehr, </w:t>
      </w:r>
      <w:r>
        <w:rPr>
          <w:b w:val="0"/>
          <w:i w:val="0"/>
        </w:rPr>
        <w:t>Budget und Liquiditätsplanung für das erste Jahr.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Zuwendungsbestätigungen </w:t>
      </w:r>
      <w:r>
        <w:rPr>
          <w:b w:val="0"/>
          <w:i w:val="0"/>
        </w:rPr>
        <w:t>für Spenden über 300 € (nach Anerkennung der Gemeinnützigkeit).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Jahresabschluss </w:t>
      </w:r>
      <w:r>
        <w:rPr>
          <w:b w:val="0"/>
          <w:i w:val="0"/>
        </w:rPr>
        <w:t>vorbereiten und mit den Kassenprüfern abstimmen.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Externe Schnittstellen</w:t>
      </w:r>
    </w:p>
    <w:p>
      <w:pPr>
        <w:pStyle w:val="ListBullet"/>
        <w:spacing w:after="30"/>
      </w:pPr>
      <w:r>
        <w:rPr>
          <w:b/>
          <w:i w:val="0"/>
        </w:rPr>
        <w:t>Bank</w:t>
      </w:r>
    </w:p>
    <w:p>
      <w:pPr>
        <w:pStyle w:val="ListBullet"/>
        <w:spacing w:after="30"/>
      </w:pPr>
      <w:r>
        <w:rPr>
          <w:b/>
          <w:i w:val="0"/>
        </w:rPr>
        <w:t xml:space="preserve">Steuerberater </w:t>
      </w:r>
      <w:r>
        <w:rPr>
          <w:b w:val="0"/>
          <w:i w:val="0"/>
        </w:rPr>
        <w:t>(kurzfristig zu bestimmen, siehe oben).</w:t>
      </w:r>
    </w:p>
    <w:p>
      <w:pPr>
        <w:pStyle w:val="ListBullet"/>
        <w:spacing w:after="30"/>
      </w:pPr>
      <w:r>
        <w:rPr>
          <w:b/>
          <w:i w:val="0"/>
        </w:rPr>
        <w:t xml:space="preserve">Finanzamt </w:t>
      </w:r>
      <w:r>
        <w:rPr>
          <w:b w:val="0"/>
          <w:i w:val="0"/>
        </w:rPr>
        <w:t>(Gemeinnützigkeit, Freistellungsbescheid) und Energieversorger.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60"/>
      </w:pPr>
      <w:r>
        <w:rPr>
          <w:b w:val="0"/>
          <w:i/>
          <w:color w:val="6B7A82"/>
          <w:sz w:val="17"/>
        </w:rPr>
        <w:t>„(Vorschlag)“ = ergänzende Idee, im Team noch abzustimmen. Zeitangaben sind Zielmarken, keine festen Fristen.</w:t>
      </w:r>
    </w:p>
    <w:sectPr w:rsidR="00FC693F" w:rsidRPr="0006063C" w:rsidSect="00034616">
      <w:pgSz w:w="12240" w:h="15840"/>
      <w:pgMar w:top="68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1B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