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A5173"/>
          <w:sz w:val="36"/>
        </w:rPr>
        <w:t>Fachgruppe Recht, Verträge &amp; Compliance – Themenliste</w:t>
      </w:r>
    </w:p>
    <w:p>
      <w:pPr>
        <w:spacing w:after="80"/>
      </w:pPr>
      <w:r>
        <w:rPr>
          <w:b w:val="0"/>
          <w:i/>
          <w:color w:val="6B7A82"/>
          <w:sz w:val="18"/>
        </w:rPr>
        <w:t>Sportbad Mannheim (Arbeitstitel) · Stand Oktober 2026 · grob geschätzter Aufwand ≈ 2 h/Woche (Team gesamt), bis zum Start deutlich mehr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Rolle in einem Satz</w:t>
      </w:r>
    </w:p>
    <w:p>
      <w:r>
        <w:rPr>
          <w:b w:val="0"/>
          <w:i w:val="0"/>
        </w:rPr>
        <w:t xml:space="preserve">Die Fachgruppe </w:t>
      </w:r>
      <w:r>
        <w:rPr>
          <w:b/>
          <w:i w:val="0"/>
        </w:rPr>
        <w:t>prüft und entwirft alle Verträge des Vereins und achtet darauf, dass er die rechtlichen Regeln einhält</w:t>
      </w:r>
      <w:r>
        <w:rPr>
          <w:b w:val="0"/>
          <w:i w:val="0"/>
        </w:rPr>
        <w:t xml:space="preserve"> – unterschrieben wird durch den Vorstand.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1. Gründung</w:t>
      </w:r>
      <w:r>
        <w:rPr>
          <w:b/>
          <w:i w:val="0"/>
          <w:color w:val="1C7293"/>
          <w:sz w:val="19"/>
        </w:rPr>
        <w:t xml:space="preserve">   bis Anfang Dezember 2026</w:t>
      </w:r>
    </w:p>
    <w:p>
      <w:pPr>
        <w:pStyle w:val="ListBullet"/>
        <w:spacing w:after="30"/>
      </w:pPr>
      <w:r>
        <w:rPr>
          <w:b/>
          <w:i w:val="0"/>
        </w:rPr>
        <w:t xml:space="preserve">Satzung finalisieren </w:t>
      </w:r>
      <w:r>
        <w:rPr>
          <w:b w:val="0"/>
          <w:i w:val="0"/>
        </w:rPr>
        <w:t>und vorab mit dem Finanzamt abstimmen (Kontakt über Finanzen); Gründungsprotokoll, Notar, Anmeldung beim Vereinsregister.</w:t>
      </w:r>
    </w:p>
    <w:p>
      <w:pPr>
        <w:pStyle w:val="ListBullet"/>
        <w:spacing w:after="30"/>
      </w:pPr>
      <w:r>
        <w:rPr>
          <w:b/>
          <w:i w:val="0"/>
        </w:rPr>
        <w:t xml:space="preserve">Bis zur Eintragung </w:t>
      </w:r>
      <w:r>
        <w:rPr>
          <w:b w:val="0"/>
          <w:i w:val="0"/>
        </w:rPr>
        <w:t>haften Handelnde persönlich – größere Verträge möglichst erst danach unterschreiben.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2. Pachtvertrag mit der Stadt</w:t>
      </w:r>
      <w:r>
        <w:rPr>
          <w:b/>
          <w:i w:val="0"/>
          <w:color w:val="1C7293"/>
          <w:sz w:val="19"/>
        </w:rPr>
        <w:t xml:space="preserve">   bis Inbetriebnahme</w:t>
      </w:r>
    </w:p>
    <w:p>
      <w:pPr>
        <w:pStyle w:val="ListBullet"/>
        <w:spacing w:after="30"/>
      </w:pPr>
      <w:r>
        <w:rPr>
          <w:b/>
          <w:i w:val="0"/>
        </w:rPr>
        <w:t xml:space="preserve">Entwurf prüfen und verhandeln, </w:t>
      </w:r>
      <w:r>
        <w:rPr>
          <w:b w:val="0"/>
          <w:i w:val="0"/>
        </w:rPr>
        <w:t>u. a.: längere Kündigungsfrist für die Stadt, Pachtstaffel und Überschussklausel, Brandschutzrundgänge, Kostenübernahmen (z. B. Strom bis Jahresende).</w:t>
      </w:r>
    </w:p>
    <w:p>
      <w:pPr>
        <w:pStyle w:val="ListBullet"/>
        <w:spacing w:after="30"/>
      </w:pPr>
      <w:r>
        <w:rPr>
          <w:b/>
          <w:i w:val="0"/>
        </w:rPr>
        <w:t xml:space="preserve">Reinigung und Winterdienst der Verkehrswege </w:t>
      </w:r>
      <w:r>
        <w:rPr>
          <w:b w:val="0"/>
          <w:i w:val="0"/>
        </w:rPr>
        <w:t>bei der Stadt belassen bzw. an sie übergeben: Die Schüler laufen über das Gelände – Reinigung und Schneeräumung (Verkehrssicherung) sind daher Sache der Stadt.</w:t>
      </w:r>
    </w:p>
    <w:p>
      <w:pPr>
        <w:pStyle w:val="ListBullet"/>
        <w:spacing w:after="30"/>
      </w:pPr>
      <w:r>
        <w:rPr>
          <w:b/>
          <w:i w:val="0"/>
        </w:rPr>
        <w:t xml:space="preserve">Rückbau bei Vertragsende: </w:t>
      </w:r>
      <w:r>
        <w:rPr>
          <w:b w:val="0"/>
          <w:i w:val="0"/>
        </w:rPr>
        <w:t>Bewegliches nehmen wir mit; mit der Stadt abgestimmte feste Änderungen bleiben und müssen nicht zurückgebaut werden.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3. Verträge mit Nutzern</w:t>
      </w:r>
      <w:r>
        <w:rPr>
          <w:b/>
          <w:i w:val="0"/>
          <w:color w:val="1C7293"/>
          <w:sz w:val="19"/>
        </w:rPr>
        <w:t xml:space="preserve">   bis Inbetriebnahme</w:t>
      </w:r>
    </w:p>
    <w:p>
      <w:pPr>
        <w:pStyle w:val="ListBullet"/>
        <w:spacing w:after="30"/>
      </w:pPr>
      <w:r>
        <w:rPr>
          <w:b/>
          <w:i w:val="0"/>
        </w:rPr>
        <w:t xml:space="preserve">Mustervertrag für die Überlassung an Vereine, Schulen und Schwimmschulen: </w:t>
      </w:r>
      <w:r>
        <w:rPr>
          <w:b w:val="0"/>
          <w:i w:val="0"/>
        </w:rPr>
        <w:t>Badezeiten, Entgelt, Wasseraufsicht und Nachweise, Haftung, Haus- und Badeordnung.</w:t>
      </w:r>
    </w:p>
    <w:p>
      <w:pPr>
        <w:pStyle w:val="ListBullet"/>
        <w:spacing w:after="30"/>
      </w:pPr>
      <w:r>
        <w:rPr>
          <w:b/>
          <w:i w:val="0"/>
        </w:rPr>
        <w:t xml:space="preserve">Haus- und Badeordnung </w:t>
      </w:r>
      <w:r>
        <w:rPr>
          <w:b w:val="0"/>
          <w:i w:val="0"/>
        </w:rPr>
        <w:t>erstellen, gemeinsam mit Personal &amp; Sicherheit.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4. Personal- und Dienstleisterverträge</w:t>
      </w:r>
      <w:r>
        <w:rPr>
          <w:b/>
          <w:i w:val="0"/>
          <w:color w:val="1C7293"/>
          <w:sz w:val="19"/>
        </w:rPr>
        <w:t xml:space="preserve">   bis Inbetriebnahme</w:t>
      </w:r>
    </w:p>
    <w:p>
      <w:pPr>
        <w:pStyle w:val="ListBullet"/>
        <w:spacing w:after="30"/>
      </w:pPr>
      <w:r>
        <w:rPr>
          <w:b/>
          <w:i w:val="0"/>
        </w:rPr>
        <w:t xml:space="preserve">Arbeits- und Beraterverträge </w:t>
      </w:r>
      <w:r>
        <w:rPr>
          <w:b w:val="0"/>
          <w:i w:val="0"/>
        </w:rPr>
        <w:t>(Iris, Patrick Berndt, Dieter Wulff) mit Personal &amp; Sicherheit; dabei Scheinselbständigkeit ausschließen.</w:t>
      </w:r>
    </w:p>
    <w:p>
      <w:pPr>
        <w:pStyle w:val="ListBullet"/>
        <w:spacing w:after="30"/>
      </w:pPr>
      <w:r>
        <w:rPr>
          <w:b/>
          <w:i w:val="0"/>
        </w:rPr>
        <w:t xml:space="preserve">Vereinbarung für Bereitschaftsdienste </w:t>
      </w:r>
      <w:r>
        <w:rPr>
          <w:b w:val="0"/>
          <w:i w:val="0"/>
        </w:rPr>
        <w:t>durch Mitglieder nach § 10 der Satzung.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Weitere Verträge prüfen: </w:t>
      </w:r>
      <w:r>
        <w:rPr>
          <w:b w:val="0"/>
          <w:i w:val="0"/>
        </w:rPr>
        <w:t>Wartung und Handwerker, Energie (mit Finanzen), Software und Auftragsverarbeitung (mit IT), Sponsoring.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5. Compliance</w:t>
      </w:r>
      <w:r>
        <w:rPr>
          <w:b/>
          <w:i w:val="0"/>
          <w:color w:val="1C7293"/>
          <w:sz w:val="19"/>
        </w:rPr>
        <w:t xml:space="preserve">   laufend</w:t>
      </w:r>
    </w:p>
    <w:p>
      <w:pPr>
        <w:pStyle w:val="ListBullet"/>
        <w:spacing w:after="30"/>
      </w:pPr>
      <w:r>
        <w:rPr>
          <w:b/>
          <w:i w:val="0"/>
        </w:rPr>
        <w:t xml:space="preserve">Gemeinnützigkeit sichern: </w:t>
      </w:r>
      <w:r>
        <w:rPr>
          <w:b w:val="0"/>
          <w:i w:val="0"/>
        </w:rPr>
        <w:t>Mittelverwendung, Vergütungen und Zuwendungsbestätigungen regelkonform – gemeinsam mit Finanzen.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Spendenaktion rechtssicher aufsetzen, </w:t>
      </w:r>
      <w:r>
        <w:rPr>
          <w:b w:val="0"/>
          <w:i w:val="0"/>
        </w:rPr>
        <w:t>inkl. Regel zur Rückerstattung bei Nichterreichen des Ziels.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Datenschutz (DSGVO) </w:t>
      </w:r>
      <w:r>
        <w:rPr>
          <w:b w:val="0"/>
          <w:i w:val="0"/>
        </w:rPr>
        <w:t>gemeinsam mit IT und Mitglieder.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Versicherungen: </w:t>
      </w:r>
      <w:r>
        <w:rPr>
          <w:b w:val="0"/>
          <w:i w:val="0"/>
        </w:rPr>
        <w:t>Vereinshaftpflicht, Sportversicherung (ggf. über den Badischen Sportbund), Haftung des Vorstands prüfen.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Vertragsübersicht mit Fristen </w:t>
      </w:r>
      <w:r>
        <w:rPr>
          <w:b w:val="0"/>
          <w:i w:val="0"/>
        </w:rPr>
        <w:t>(Laufzeiten, Kündigungsfristen) führen.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Schnittstellen</w:t>
      </w:r>
    </w:p>
    <w:p>
      <w:pPr>
        <w:pStyle w:val="ListBullet"/>
        <w:spacing w:after="30"/>
      </w:pPr>
      <w:r>
        <w:rPr>
          <w:b/>
          <w:i w:val="0"/>
        </w:rPr>
        <w:t xml:space="preserve">Intern: </w:t>
      </w:r>
      <w:r>
        <w:rPr>
          <w:b w:val="0"/>
          <w:i w:val="0"/>
        </w:rPr>
        <w:t>Vorstand (Unterschrift), Finanzen, Personal &amp; Sicherheit, Mitglieder &amp; Belegung, IT.</w:t>
      </w:r>
    </w:p>
    <w:p>
      <w:pPr>
        <w:pStyle w:val="ListBullet"/>
        <w:spacing w:after="30"/>
      </w:pPr>
      <w:r>
        <w:rPr>
          <w:b/>
          <w:i w:val="0"/>
        </w:rPr>
        <w:t xml:space="preserve">Extern: </w:t>
      </w:r>
      <w:r>
        <w:rPr>
          <w:b w:val="0"/>
          <w:i w:val="0"/>
        </w:rPr>
        <w:t>Stadt Mannheim, Notar, Registergericht, Versicherer.</w:t>
      </w:r>
    </w:p>
    <w:p>
      <w:pPr>
        <w:spacing w:before="160"/>
      </w:pPr>
      <w:r>
        <w:rPr>
          <w:b w:val="0"/>
          <w:i/>
          <w:color w:val="6B7A82"/>
          <w:sz w:val="17"/>
        </w:rPr>
        <w:t>„(Vorschlag)“ = ergänzende Idee, im Team noch abzustimmen. Zeitangaben sind Zielmarken, keine festen Fristen.</w:t>
      </w:r>
    </w:p>
    <w:sectPr w:rsidR="00FC693F" w:rsidRPr="0006063C" w:rsidSect="00034616">
      <w:pgSz w:w="12240" w:h="15840"/>
      <w:pgMar w:top="680" w:right="964" w:bottom="56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hAnsi="Calibri"/>
      <w:color w:val="1B2A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