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A5173"/>
          <w:sz w:val="36"/>
        </w:rPr>
        <w:t>Vorstand – Themenliste</w:t>
      </w:r>
    </w:p>
    <w:p>
      <w:pPr>
        <w:spacing w:after="80"/>
      </w:pPr>
      <w:r>
        <w:rPr>
          <w:b w:val="0"/>
          <w:i/>
          <w:color w:val="6B7A82"/>
          <w:sz w:val="18"/>
        </w:rPr>
        <w:t>Sportbad Mannheim (Arbeitstitel) · 1. und 2. Vorsitz · Stand Oktober 2026 · grob geschätzter Aufwand ≈ 8 h/Woche (1. Vorsitz) und ≈ 5 h/Woche (2. Vorsitz)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Rolle in einem Satz</w:t>
      </w:r>
    </w:p>
    <w:p>
      <w:r>
        <w:rPr>
          <w:b w:val="0"/>
          <w:i w:val="0"/>
        </w:rPr>
        <w:t xml:space="preserve">Der Vorstand </w:t>
      </w:r>
      <w:r>
        <w:rPr>
          <w:b/>
          <w:i w:val="0"/>
        </w:rPr>
        <w:t>vertritt den Verein nach außen, trifft die zentralen Entscheidungen und hält die Fachgruppen zusammen</w:t>
      </w:r>
      <w:r>
        <w:rPr>
          <w:b w:val="0"/>
          <w:i w:val="0"/>
        </w:rPr>
        <w:t>. Der 2. Vorsitz vertritt den 1. Vorsitz in allen Aufgaben. Die Finanzen verantwortet der/die Schatzmeister/in (eigene Themenliste).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1. Außenvertretung</w:t>
      </w:r>
      <w:r>
        <w:rPr>
          <w:b/>
          <w:i w:val="0"/>
          <w:color w:val="1C7293"/>
          <w:sz w:val="19"/>
        </w:rPr>
        <w:t xml:space="preserve">   laufend</w:t>
      </w:r>
    </w:p>
    <w:p>
      <w:pPr>
        <w:pStyle w:val="ListBullet"/>
        <w:spacing w:after="30"/>
      </w:pPr>
      <w:r>
        <w:rPr>
          <w:b/>
          <w:i w:val="0"/>
        </w:rPr>
        <w:t xml:space="preserve">Kontakt zur Stadt Mannheim </w:t>
      </w:r>
      <w:r>
        <w:rPr>
          <w:b w:val="0"/>
          <w:i w:val="0"/>
        </w:rPr>
        <w:t>auf Leitungsebene – Verhandlungen zu Pachtvertrag, Kostenübernahmen und Rahmenbedingungen.</w:t>
      </w:r>
    </w:p>
    <w:p>
      <w:pPr>
        <w:pStyle w:val="ListBullet"/>
        <w:spacing w:after="30"/>
      </w:pPr>
      <w:r>
        <w:rPr>
          <w:b/>
          <w:i w:val="0"/>
        </w:rPr>
        <w:t xml:space="preserve">Große Sponsoren und Großspender </w:t>
      </w:r>
      <w:r>
        <w:rPr>
          <w:b w:val="0"/>
          <w:i w:val="0"/>
        </w:rPr>
        <w:t>persönlich ansprechen und betreuen; Marketing &amp; Sponsoring bereitet vor.</w:t>
      </w:r>
    </w:p>
    <w:p>
      <w:pPr>
        <w:pStyle w:val="ListBullet"/>
        <w:spacing w:after="30"/>
      </w:pPr>
      <w:r>
        <w:rPr>
          <w:b/>
          <w:i w:val="0"/>
        </w:rPr>
        <w:t xml:space="preserve">Alle weiteren Außenthemen </w:t>
      </w:r>
      <w:r>
        <w:rPr>
          <w:b w:val="0"/>
          <w:i w:val="0"/>
        </w:rPr>
        <w:t>auf Leitungsebene, z. B. Badischer Sportbund, Politik und Ortsverwaltung, Presse.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2. Verträge und Haftung</w:t>
      </w:r>
      <w:r>
        <w:rPr>
          <w:b/>
          <w:i w:val="0"/>
          <w:color w:val="1C7293"/>
          <w:sz w:val="19"/>
        </w:rPr>
        <w:t xml:space="preserve">   laufend</w:t>
      </w:r>
    </w:p>
    <w:p>
      <w:pPr>
        <w:pStyle w:val="ListBullet"/>
        <w:spacing w:after="30"/>
      </w:pPr>
      <w:r>
        <w:rPr>
          <w:b/>
          <w:i w:val="0"/>
        </w:rPr>
        <w:t xml:space="preserve">Verträge unterzeichnen </w:t>
      </w:r>
      <w:r>
        <w:rPr>
          <w:b w:val="0"/>
          <w:i w:val="0"/>
        </w:rPr>
        <w:t>nach der Vertretungsregel der Satzung (§ 26 BGB) – nach Prüfung durch Recht, Verträge &amp; Compliance.</w:t>
      </w:r>
    </w:p>
    <w:p>
      <w:pPr>
        <w:pStyle w:val="ListBullet"/>
        <w:spacing w:after="30"/>
      </w:pPr>
      <w:r>
        <w:rPr>
          <w:b/>
          <w:i w:val="0"/>
        </w:rPr>
        <w:t xml:space="preserve">Gesamtverantwortung als Betreiber und Arbeitgeber: </w:t>
      </w:r>
      <w:r>
        <w:rPr>
          <w:b w:val="0"/>
          <w:i w:val="0"/>
        </w:rPr>
        <w:t>Sicherheit, Personal und Verkehrssicherung sind an Fachgruppen delegiert, die Verantwortung bleibt beim Vorstand.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pStyle w:val="ListBullet"/>
        <w:spacing w:after="30"/>
      </w:pPr>
      <w:r>
        <w:rPr>
          <w:b/>
          <w:i w:val="0"/>
        </w:rPr>
        <w:t xml:space="preserve">Finanzlage im Blick: </w:t>
      </w:r>
      <w:r>
        <w:rPr>
          <w:b w:val="0"/>
          <w:i w:val="0"/>
        </w:rPr>
        <w:t>regelmäßiger Abgleich mit dem/der Schatzmeister/in, um Zahlungsschwierigkeiten früh zu erkennen.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3. Gründung und Start</w:t>
      </w:r>
      <w:r>
        <w:rPr>
          <w:b/>
          <w:i w:val="0"/>
          <w:color w:val="1C7293"/>
          <w:sz w:val="19"/>
        </w:rPr>
        <w:t xml:space="preserve">   bis Februar 2027</w:t>
      </w:r>
    </w:p>
    <w:p>
      <w:pPr>
        <w:pStyle w:val="ListBullet"/>
        <w:spacing w:after="30"/>
      </w:pPr>
      <w:r>
        <w:rPr>
          <w:b/>
          <w:i w:val="0"/>
        </w:rPr>
        <w:t xml:space="preserve">Gründungsversammlung </w:t>
      </w:r>
      <w:r>
        <w:rPr>
          <w:b w:val="0"/>
          <w:i w:val="0"/>
        </w:rPr>
        <w:t>vorbereiten und leiten; Anmeldung zum Vereinsregister über den Notar.</w:t>
      </w:r>
    </w:p>
    <w:p>
      <w:pPr>
        <w:pStyle w:val="ListBullet"/>
        <w:spacing w:after="30"/>
      </w:pPr>
      <w:r>
        <w:rPr>
          <w:b/>
          <w:i w:val="0"/>
        </w:rPr>
        <w:t xml:space="preserve">Entscheidung über die Inbetriebnahme: </w:t>
      </w:r>
      <w:r>
        <w:rPr>
          <w:b w:val="0"/>
          <w:i w:val="0"/>
        </w:rPr>
        <w:t>Start nur, wenn das erste Jahr vollständig durchfinanziert ist.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4. Bau und Statik</w:t>
      </w:r>
      <w:r>
        <w:rPr>
          <w:b/>
          <w:i w:val="0"/>
          <w:color w:val="1C7293"/>
          <w:sz w:val="19"/>
        </w:rPr>
        <w:t xml:space="preserve">   bis Inbetriebnahme, dann laufend</w:t>
      </w:r>
    </w:p>
    <w:p>
      <w:pPr>
        <w:pStyle w:val="ListBullet"/>
        <w:spacing w:after="30"/>
      </w:pPr>
      <w:r>
        <w:rPr>
          <w:b/>
          <w:i w:val="0"/>
        </w:rPr>
        <w:t xml:space="preserve">Bauliche Maßnahmen steuern: </w:t>
      </w:r>
      <w:r>
        <w:rPr>
          <w:b w:val="0"/>
          <w:i w:val="0"/>
        </w:rPr>
        <w:t>Abdichtung des Hochdachs, Instandsetzung der Dachträger-Auflager, Sprungturm – mit fachlicher Begleitung durch Herrn Späh.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5. Steuerung des Vereins</w:t>
      </w:r>
      <w:r>
        <w:rPr>
          <w:b/>
          <w:i w:val="0"/>
          <w:color w:val="1C7293"/>
          <w:sz w:val="19"/>
        </w:rPr>
        <w:t xml:space="preserve">   laufend</w:t>
      </w:r>
    </w:p>
    <w:p>
      <w:pPr>
        <w:pStyle w:val="ListBullet"/>
        <w:spacing w:after="30"/>
      </w:pPr>
      <w:r>
        <w:rPr>
          <w:b/>
          <w:i w:val="0"/>
        </w:rPr>
        <w:t xml:space="preserve">Fachgruppen koordinieren: </w:t>
      </w:r>
      <w:r>
        <w:rPr>
          <w:b w:val="0"/>
          <w:i w:val="0"/>
        </w:rPr>
        <w:t>Prioritäten setzen, Entscheidungen treffen, Konflikte klären.</w:t>
      </w:r>
    </w:p>
    <w:p>
      <w:pPr>
        <w:pStyle w:val="ListBullet"/>
        <w:spacing w:after="30"/>
      </w:pPr>
      <w:r>
        <w:rPr>
          <w:b/>
          <w:i w:val="0"/>
        </w:rPr>
        <w:t xml:space="preserve">Regelmäßige Kernteam-Sitzungen </w:t>
      </w:r>
      <w:r>
        <w:rPr>
          <w:b w:val="0"/>
          <w:i w:val="0"/>
        </w:rPr>
        <w:t>leiten und Ergebnisse festhalten.</w:t>
      </w:r>
      <w:r>
        <w:rPr>
          <w:b w:val="0"/>
          <w:i/>
          <w:color w:val="6B7A82"/>
          <w:sz w:val="17"/>
        </w:rPr>
        <w:t xml:space="preserve">  (Vorschlag)</w:t>
      </w:r>
    </w:p>
    <w:p>
      <w:pPr>
        <w:pStyle w:val="ListBullet"/>
        <w:spacing w:after="30"/>
      </w:pPr>
      <w:r>
        <w:rPr>
          <w:b/>
          <w:i w:val="0"/>
        </w:rPr>
        <w:t xml:space="preserve">Mitgliederversammlung </w:t>
      </w:r>
      <w:r>
        <w:rPr>
          <w:b w:val="0"/>
          <w:i w:val="0"/>
        </w:rPr>
        <w:t>einberufen und leiten; Rechenschaft über das Vereinsjahr ablegen.</w:t>
      </w:r>
    </w:p>
    <w:p>
      <w:pPr>
        <w:spacing w:before="140" w:after="20"/>
      </w:pPr>
      <w:r>
        <w:rPr>
          <w:b/>
          <w:i w:val="0"/>
          <w:color w:val="0A5173"/>
          <w:sz w:val="23"/>
        </w:rPr>
        <w:t>Schnittstellen</w:t>
      </w:r>
    </w:p>
    <w:p>
      <w:pPr>
        <w:pStyle w:val="ListBullet"/>
        <w:spacing w:after="30"/>
      </w:pPr>
      <w:r>
        <w:rPr>
          <w:b/>
          <w:i w:val="0"/>
        </w:rPr>
        <w:t xml:space="preserve">Intern: </w:t>
      </w:r>
      <w:r>
        <w:rPr>
          <w:b w:val="0"/>
          <w:i w:val="0"/>
        </w:rPr>
        <w:t>alle Fachgruppen, besonders Finanzen, Recht, Verträge &amp; Compliance und Marketing &amp; Sponsoring.</w:t>
      </w:r>
    </w:p>
    <w:p>
      <w:pPr>
        <w:pStyle w:val="ListBullet"/>
        <w:spacing w:after="30"/>
      </w:pPr>
      <w:r>
        <w:rPr>
          <w:b/>
          <w:i w:val="0"/>
        </w:rPr>
        <w:t xml:space="preserve">Extern: </w:t>
      </w:r>
      <w:r>
        <w:rPr>
          <w:b w:val="0"/>
          <w:i w:val="0"/>
        </w:rPr>
        <w:t>Stadt Mannheim, Großsponsoren, Badischer Sportbund, Notar, Presse.</w:t>
      </w:r>
    </w:p>
    <w:p>
      <w:pPr>
        <w:spacing w:before="160"/>
      </w:pPr>
      <w:r>
        <w:rPr>
          <w:b w:val="0"/>
          <w:i/>
          <w:color w:val="6B7A82"/>
          <w:sz w:val="17"/>
        </w:rPr>
        <w:t>„(Vorschlag)“ = ergänzende Idee, im Team noch abzustimmen. Zeitangaben sind Zielmarken, keine festen Fristen.</w:t>
      </w:r>
    </w:p>
    <w:sectPr w:rsidR="00FC693F" w:rsidRPr="0006063C" w:rsidSect="00034616">
      <w:pgSz w:w="12240" w:h="15840"/>
      <w:pgMar w:top="680" w:right="964" w:bottom="56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Calibri" w:hAnsi="Calibri"/>
      <w:color w:val="1B2A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