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p>
    <w:p>
      <w:pPr>
        <w:spacing w:after="60"/>
      </w:pPr>
      <w:r>
        <w:rPr>
          <w:rFonts w:ascii="Arial" w:cs="Arial" w:eastAsia="Arial" w:hAnsi="Arial"/>
          <w:color w:val="999999"/>
          <w:spacing w:val="200"/>
          <w:sz w:val="18"/>
          <w:szCs w:val="18"/>
        </w:rPr>
        <w:t xml:space="preserve">INVESTMENT MEMO</w:t>
      </w:r>
    </w:p>
    <w:p>
      <w:pPr>
        <w:spacing w:after="120"/>
      </w:pPr>
      <w:r>
        <w:rPr>
          <w:rFonts w:ascii="Arial" w:cs="Arial" w:eastAsia="Arial" w:hAnsi="Arial"/>
          <w:b/>
          <w:bCs/>
          <w:color w:val="111111"/>
          <w:sz w:val="72"/>
          <w:szCs w:val="72"/>
        </w:rPr>
        <w:t xml:space="preserve">Notch</w:t>
      </w:r>
    </w:p>
    <w:p>
      <w:pPr>
        <w:spacing w:after="60"/>
      </w:pPr>
      <w:r>
        <w:rPr>
          <w:i/>
          <w:iCs/>
        </w:rPr>
        <w:t xml:space="preserve">The first perpetual market for sports.</w:t>
      </w:r>
    </w:p>
    <w:p>
      <w:pPr>
        <w:spacing w:after="600" w:before="600"/>
      </w:pPr>
    </w:p>
    <w:p>
      <w:pPr>
        <w:spacing w:after="40"/>
      </w:pPr>
      <w:r>
        <w:rPr>
          <w:color w:val="666666"/>
        </w:rPr>
        <w:t xml:space="preserve">Seed Round  ·  $5M  ·  $50M post-money  ·  SAFE + Token Warrant</w:t>
      </w:r>
    </w:p>
    <w:p>
      <w:pPr>
        <w:spacing w:after="40"/>
      </w:pPr>
      <w:r>
        <w:rPr>
          <w:color w:val="666666"/>
        </w:rPr>
        <w:t xml:space="preserve">March 2026</w:t>
      </w:r>
    </w:p>
    <w:p>
      <w:pPr>
        <w:spacing w:after="400" w:before="400"/>
      </w:pPr>
    </w:p>
    <w:p>
      <w:pPr>
        <w:spacing w:after="40"/>
      </w:pPr>
      <w:r>
        <w:rPr>
          <w:rFonts w:ascii="Arial" w:cs="Arial" w:eastAsia="Arial" w:hAnsi="Arial"/>
          <w:color w:val="999999"/>
          <w:sz w:val="18"/>
          <w:szCs w:val="18"/>
        </w:rPr>
        <w:t xml:space="preserve">ops at notch.win</w:t>
      </w:r>
    </w:p>
    <w:p>
      <w:r>
        <w:rPr>
          <w:rFonts w:ascii="Arial" w:cs="Arial" w:eastAsia="Arial" w:hAnsi="Arial"/>
          <w:color w:val="999999"/>
          <w:sz w:val="18"/>
          <w:szCs w:val="18"/>
        </w:rPr>
        <w:t xml:space="preserve">notch.win  ·  kops.ai  ·  tail.trade</w:t>
      </w:r>
    </w:p>
    <w:p>
      <w:r>
        <w:br w:type="page"/>
      </w:r>
    </w:p>
    <w:p>
      <w:pPr>
        <w:pStyle w:val="Heading1"/>
      </w:pPr>
      <w:r>
        <w:t xml:space="preserve">What Notch Is</w:t>
      </w:r>
    </w:p>
    <w:p>
      <w:pPr>
        <w:spacing w:after="200" w:line="276"/>
      </w:pPr>
      <w:r>
        <w:t xml:space="preserve">Notch lets you go long Arsenal or short PSG the way you’d trade any other asset. Positions persist across matches, transfer windows, and entire seasons. The underlying is a proprietary Team Strength Price—a dollar-denominated index per club, updated in real time from bookmaker odds, prediction market data, historical performance, and match outcomes. The market is a perpetual derivative: same mechanics as Hyperliquid (funding rates, margin, leverage, liquidation), applied to the most emotionally resonant asset class on earth. The oracle and the exchange are live. We are raising $5M to ship the consumer app and scale into the 2026 World Cup.</w:t>
      </w:r>
    </w:p>
    <w:p>
      <w:pPr>
        <w:pBdr>
          <w:bottom w:val="single" w:color="DDDDDD" w:sz="1" w:space="8"/>
        </w:pBdr>
        <w:spacing w:after="280" w:before="280"/>
      </w:pPr>
    </w:p>
    <w:p>
      <w:pPr>
        <w:pStyle w:val="Heading1"/>
      </w:pPr>
      <w:r>
        <w:t xml:space="preserve">Team</w:t>
      </w:r>
    </w:p>
    <w:p>
      <w:pPr>
        <w:spacing w:after="200" w:line="276"/>
      </w:pPr>
      <w:r>
        <w:rPr>
          <w:b/>
          <w:bCs/>
        </w:rPr>
        <w:t xml:space="preserve">Igor — CEO. </w:t>
      </w:r>
      <w:r>
        <w:t xml:space="preserve">One exit. Built one of the first multichain oracles in 2018. Scaled identity and DePIN products to 1M+ users. Ran $1B+ in OTC volume across crypto exchanges. Deep operational background across crypto infrastructure, exchange systems, and oracle design.</w:t>
      </w:r>
    </w:p>
    <w:p>
      <w:pPr>
        <w:spacing w:after="200" w:line="276"/>
      </w:pPr>
      <w:r>
        <w:rPr>
          <w:b/>
          <w:bCs/>
        </w:rPr>
        <w:t xml:space="preserve">Ngoc — CTO. </w:t>
      </w:r>
      <w:r>
        <w:t xml:space="preserve">20+ years across iGaming, AI, and decentralized infrastructure. Previously Lead BA in IT at MGM, where he managed online betting systems and oversaw 10+ casino software integrations. This background is rare in crypto and directly relevant: he understands the operational surface of real-money wagering from the inside, including the compliance, surveillance, and platform reliability requirements that most crypto teams learn about by getting fined.</w:t>
      </w:r>
    </w:p>
    <w:p>
      <w:pPr>
        <w:spacing w:after="200" w:line="276"/>
      </w:pPr>
      <w:r>
        <w:rPr>
          <w:b/>
          <w:bCs/>
        </w:rPr>
        <w:t xml:space="preserve">Son — Head of Infrastructure. </w:t>
      </w:r>
      <w:r>
        <w:t xml:space="preserve">Built the real-time pricing engine behind Treehouse, a DeFi protocol that reached $500M+ in TVL. Previously architected national-scale critical infrastructure serving 1.6M users across healthcare, education, and government. The Treehouse work is directly transferable: high-throughput, real-time price computation for a DeFi protocol is mechanically identical to what our exchange layer requires.</w:t>
      </w:r>
    </w:p>
    <w:p>
      <w:pPr>
        <w:spacing w:after="200" w:line="276"/>
      </w:pPr>
      <w:r>
        <w:rPr>
          <w:b/>
          <w:bCs/>
        </w:rPr>
        <w:t xml:space="preserve">Veller — COO. </w:t>
      </w:r>
      <w:r>
        <w:t xml:space="preserve">12y institutional trading at Morgan Stanley, Bank of America. COO at Blum 90M-user Telegram DEX and Perps, backed by OKX Ventures and Binance Labs. Co-founded Gear Technologies, raising $12M+ from top-tier crypto VCs and securing a Coinbase listing.</w:t>
      </w:r>
    </w:p>
    <w:p>
      <w:pPr>
        <w:spacing w:after="200" w:line="276"/>
      </w:pPr>
      <w:r>
        <w:t xml:space="preserve">The founding question this team answers: why is this the right group to build a new asset class at the intersection of sports, derivatives, and crypto? Because each of them has already built a piece of this system separately. Igor built oracles and exchange infrastructure. Ngoc operated iGaming platforms at industrial scale. Son built real-time pricing for DeFi at $500M TVL. Veller ran operations for a 90M-user exchange. This is the integrated version.</w:t>
      </w:r>
    </w:p>
    <w:p>
      <w:pPr>
        <w:pBdr>
          <w:bottom w:val="single" w:color="DDDDDD" w:sz="1" w:space="8"/>
        </w:pBdr>
        <w:spacing w:after="280" w:before="280"/>
      </w:pPr>
    </w:p>
    <w:p>
      <w:pPr>
        <w:pStyle w:val="Heading1"/>
      </w:pPr>
      <w:r>
        <w:t xml:space="preserve">The Problem We’re Solving</w:t>
      </w:r>
    </w:p>
    <w:p>
      <w:pPr>
        <w:spacing w:after="200" w:line="276"/>
      </w:pPr>
      <w:r>
        <w:t xml:space="preserve">A DraftKings user puts $500 on Arsenal to beat Brighton. Arsenal wins. The position is gone. On Monday, Arsenal announces a £65M striker signing. The user’s view on Arsenal hasn’t changed—it’s gotten stronger—but there is no instrument to express it. He has to wait for the next match, place another isolated bet, and repeat. Every sports position dies at the final whistle.</w:t>
      </w:r>
    </w:p>
    <w:p>
      <w:pPr>
        <w:spacing w:after="200" w:line="276"/>
      </w:pPr>
      <w:r>
        <w:t xml:space="preserve">This isn’t just a UX annoyance. It’s a structural liquidity problem. Every match-based product—sportsbooks, prediction markets—destroys its entire liquidity pool at settlement. The house rebuilds from zero for the next fixture. Users can’t compound conviction. Market makers can’t build depth over time. There’s no continuity.</w:t>
      </w:r>
    </w:p>
    <w:p>
      <w:pPr>
        <w:spacing w:after="200" w:line="276"/>
      </w:pPr>
      <w:r>
        <w:t xml:space="preserve">The scale of this gap is significant. U.S. commercial sports betting generated $13.71B in operator revenue in 2024 (AGA). Prediction markets processed $64B in 2025 volume (FalconX), with sports accounting for roughly 90% of Kalshi’s notional volume. Users are already comfortable expressing sports opinions with real money in market form. They just do it today in instruments that expire.</w:t>
      </w:r>
    </w:p>
    <w:p>
      <w:pPr>
        <w:spacing w:after="200" w:line="276"/>
      </w:pPr>
      <w:r>
        <w:t xml:space="preserve">Perpetual derivatives solved the identical problem in crypto. Hyperliquid alone processed $207B in 30-day perp volume (DefiLlama) with $7.1B in open interest. The mechanic—persistent positions, funding rates, leverage, liquidation—is battle-tested. But no one has applied it to sports. That is what Notch does.</w:t>
      </w:r>
    </w:p>
    <w:p>
      <w:pPr>
        <w:pBdr>
          <w:bottom w:val="single" w:color="DDDDDD" w:sz="1" w:space="8"/>
        </w:pBdr>
        <w:spacing w:after="280" w:before="280"/>
      </w:pPr>
    </w:p>
    <w:p>
      <w:pPr>
        <w:pStyle w:val="Heading1"/>
      </w:pPr>
      <w:r>
        <w:t xml:space="preserve">How the Oracle Works (and Why)</w:t>
      </w:r>
    </w:p>
    <w:p>
      <w:pPr>
        <w:spacing w:after="200" w:line="276"/>
      </w:pPr>
      <w:r>
        <w:t xml:space="preserve">This is the section that matters most, because the oracle is the company. Everything else—the exchange, the consumer app, the distribution strategy—depends on whether the Team Strength Price is credible, manipulation-resistant, and responsive to real events. Here is how it works and why we made the design choices we did.</w:t>
      </w:r>
    </w:p>
    <w:p>
      <w:pPr>
        <w:spacing w:after="200" w:line="276"/>
      </w:pPr>
      <w:r>
        <w:t xml:space="preserve">The oracle synthesizes three categories of input into a continuous dollar-denominated price per club:</w:t>
      </w:r>
    </w:p>
    <w:p>
      <w:pPr>
        <w:spacing w:after="200" w:line="276"/>
      </w:pPr>
      <w:r>
        <w:rPr>
          <w:b/>
          <w:bCs/>
        </w:rPr>
        <w:t xml:space="preserve">Historical performance </w:t>
      </w:r>
      <w:r>
        <w:t xml:space="preserve">(results, xG, form tables, head-to-head records, league standings). This is the structural baseline. It changes slowly—a team’s 30-match form doesn’t swing overnight—and provides the gravity that prevents wild price dislocations from single results.</w:t>
      </w:r>
    </w:p>
    <w:p>
      <w:pPr>
        <w:spacing w:after="200" w:line="276"/>
      </w:pPr>
      <w:r>
        <w:rPr>
          <w:b/>
          <w:bCs/>
        </w:rPr>
        <w:t xml:space="preserve">Finality events </w:t>
      </w:r>
      <w:r>
        <w:t xml:space="preserve">(match outcomes, cup eliminations, promotion/relegation). These are hard checkpoints. When Arsenal loses 0–2 to Manchester City, the price moves. When a team is eliminated from the Champions League, the price moves. These events are indisputable and provide anchor points that prevent the index from drifting away from reality.</w:t>
      </w:r>
    </w:p>
    <w:p>
      <w:pPr>
        <w:spacing w:after="200" w:line="276"/>
      </w:pPr>
      <w:r>
        <w:rPr>
          <w:b/>
          <w:bCs/>
        </w:rPr>
        <w:t xml:space="preserve">24/7 bookmaker and prediction market odds </w:t>
      </w:r>
      <w:r>
        <w:t xml:space="preserve">(20+ feeds, updating around the clock). This is the critical design choice and the one that requires explanation.</w:t>
      </w:r>
    </w:p>
    <w:p>
      <w:pPr>
        <w:pStyle w:val="Heading2"/>
      </w:pPr>
      <w:r>
        <w:t xml:space="preserve">Why odds-as-oracle-input is the right approach</w:t>
      </w:r>
    </w:p>
    <w:p>
      <w:pPr>
        <w:spacing w:after="200" w:line="276"/>
      </w:pPr>
      <w:r>
        <w:t xml:space="preserve">The intuitive objection is: “You’re just piggybacking on bookmakers.” The accurate framing is: bookmaker odds are the single most efficient public pricing mechanism for team strength that exists, and using them as an input makes the oracle strictly better than any model we could build from scratch.</w:t>
      </w:r>
    </w:p>
    <w:p>
      <w:pPr>
        <w:spacing w:after="200" w:line="276"/>
      </w:pPr>
      <w:r>
        <w:t xml:space="preserve">This is not our opinion. It’s well-documented in academic literature. Angelini &amp; De Angelis (2019) demonstrate that betting odds incorporate information about player availability, tactical adjustments, and match context within minutes of news breaking. Reade et al. (2019) show that odds aggregate the collective intelligence of large betting markets more efficiently than any individual forecasting model. Winkelmann et al. (2024) confirm that odds-implied probabilities outperform expert predictions and statistical models across major European football leagues. A PLOS One study on NFL point spreads reaches the same conclusion for American football.</w:t>
      </w:r>
    </w:p>
    <w:p>
      <w:pPr>
        <w:spacing w:after="200" w:line="276"/>
      </w:pPr>
      <w:r>
        <w:t xml:space="preserve">What this means in practice: when Arsenal’s star striker gets injured in training on Tuesday morning, bookmaker odds for Saturday’s match adjust within minutes. Those odds incorporate the injury’s impact on win probability, adjusted for the opponent, home/away advantage, and fixture context. Our oracle inherits that signal automatically—we don’t need to build an independent injury-impact model, a player-value model, or a fixture-context model. The market has already priced it.</w:t>
      </w:r>
    </w:p>
    <w:p>
      <w:pPr>
        <w:spacing w:after="200" w:line="276"/>
      </w:pPr>
      <w:r>
        <w:t xml:space="preserve">The same logic applies to transfers, manager changes, suspensions, fatigue from fixture congestion, and every other variable that affects team strength. Bookmakers price all of these because their business depends on getting them right. Our oracle uses their work as an input layer, blends it with historical performance and finality events, and outputs a continuous price that is more robust than any approach that tries to model these variables independently.</w:t>
      </w:r>
    </w:p>
    <w:p>
      <w:pPr>
        <w:pStyle w:val="Heading2"/>
      </w:pPr>
      <w:r>
        <w:t xml:space="preserve">Why not just use odds directly?</w:t>
      </w:r>
    </w:p>
    <w:p>
      <w:pPr>
        <w:spacing w:after="200" w:line="276"/>
      </w:pPr>
      <w:r>
        <w:t xml:space="preserve">Raw odds have two problems. First, they are match-specific: they tell you Arsenal’s implied win probability against Brighton on Saturday, not Arsenal’s strength as a persistent entity. We need to extract the team-strength signal from odds that are contaminated by fixture-specific factors (opponent quality, home/away, schedule position). Second, odds include the bookmaker’s margin (the vig). We de-vig the odds, blend across 20+ sources to eliminate any single bookmaker’s bias, and then integrate the result with historical baselines and finality events to produce a price that reflects team strength, not match odds.</w:t>
      </w:r>
    </w:p>
    <w:p>
      <w:pPr>
        <w:pStyle w:val="Heading2"/>
      </w:pPr>
      <w:r>
        <w:t xml:space="preserve">What about off-season?</w:t>
      </w:r>
    </w:p>
    <w:p>
      <w:pPr>
        <w:spacing w:after="200" w:line="276"/>
      </w:pPr>
      <w:r>
        <w:t xml:space="preserve">This is a question investors consistently ask, and the answer is counterintuitive: the off-season is the highest-value pricing period, not a gap. Transfers are the single largest driver of team strength changes, and they happen between seasons. A confirmed £100M signing reprices the team baseline overnight. Manager changes—overwhelmingly an off-season event—change win probability, tactical approach, and market sentiment in ways that are immediately tradeable. Injury recovery timelines during preseason are first-order pricing inputs. Closing markets would concentrate months of information into a single violent reopen gap. We stay live, and the market prices these events as they happen.</w:t>
      </w:r>
    </w:p>
    <w:p>
      <w:pPr>
        <w:spacing w:after="200" w:line="276"/>
      </w:pPr>
      <w:r>
        <w:t xml:space="preserve">We also solve the calendar problem across sports. Soccer runs August–May. MLB runs March–October. NBA and NHL run October–June. At least one league is active every calendar month. Our oracle covers 96 soccer teams across 5 top European leagues, full NBA, full MLB, and ATP/WTA top 500 tennis. That’s approximately 430 major-league events per year, plus off-season activity. Markets never close.</w:t>
      </w:r>
    </w:p>
    <w:p>
      <w:pPr>
        <w:pBdr>
          <w:bottom w:val="single" w:color="DDDDDD" w:sz="1" w:space="8"/>
        </w:pBdr>
        <w:spacing w:after="280" w:before="280"/>
      </w:pPr>
    </w:p>
    <w:p>
      <w:pPr>
        <w:pStyle w:val="Heading1"/>
      </w:pPr>
      <w:r>
        <w:t xml:space="preserve">Why Three Entities</w:t>
      </w:r>
    </w:p>
    <w:p>
      <w:pPr>
        <w:spacing w:after="200" w:line="276"/>
      </w:pPr>
      <w:r>
        <w:t xml:space="preserve">The company is structured as three separate legal entities. This is not vanity complexity. Each entity isolates a different regulatory surface and creates independent value.</w:t>
      </w:r>
    </w:p>
    <w:p>
      <w:pPr>
        <w:spacing w:after="200" w:line="276"/>
      </w:pPr>
      <w:r>
        <w:rPr>
          <w:b/>
          <w:bCs/>
        </w:rPr>
        <w:t xml:space="preserve">KOPS AI (kops.ai) — the oracle. </w:t>
      </w:r>
      <w:r>
        <w:t xml:space="preserve">Produces the Team Strength Price. This entity is a data company. It does not take custody of user funds, does not match trades, and does not interact with retail users. The price feed has value beyond our own exchange—third-party venues, media companies, fantasy platforms, and data providers are potential licensing customers. If the exchange were shut down tomorrow, the oracle would still be a viable business.</w:t>
      </w:r>
    </w:p>
    <w:p>
      <w:pPr>
        <w:spacing w:after="200" w:line="276"/>
      </w:pPr>
      <w:r>
        <w:rPr>
          <w:b/>
          <w:bCs/>
        </w:rPr>
        <w:t xml:space="preserve">Tail.trade (tail.trade) — the exchange. </w:t>
      </w:r>
      <w:r>
        <w:t xml:space="preserve">Non-custodial perpetual DEX on Solana. Order matching, margin, funding rates, liquidation. This entity operates the market infrastructure but does not control user funds (non-custodial) and does not produce the price (that’s the oracle). 13 markets live today. The Builder Codes model—where third-party sportsbook apps plug in as frontends and earn per-trade revenue—lives here.</w:t>
      </w:r>
    </w:p>
    <w:p>
      <w:pPr>
        <w:spacing w:after="200" w:line="276"/>
      </w:pPr>
      <w:r>
        <w:rPr>
          <w:b/>
          <w:bCs/>
        </w:rPr>
        <w:t xml:space="preserve">Notch.win (notch.win) — the consumer app. </w:t>
      </w:r>
      <w:r>
        <w:t xml:space="preserve">Retail UX, non-custodial wallet, fiat on-ramp, social features. This is the only entity that touches retail regulators. By isolating retail distribution from oracle production and exchange infrastructure, we limit the regulatory blast radius of any single entity. The architecture follows the Dreamcash/Hyperliquid model: Dreamcash is a Tether-backed mobile frontend that launched in 2025, offering non-custodial access to Hyperliquid’s perpetual markets (including TSLA, S&amp;P 500, and gold perps). Users maintain full self-custody—Dreamcash cannot freeze accounts, seize funds, or prevent withdrawals. Notch.win is the same architecture applied to sports: a non-custodial mobile frontend routing orders to Tail.trade. The user controls their keys. The app never takes custody.</w:t>
      </w:r>
    </w:p>
    <w:p>
      <w:pPr>
        <w:spacing w:after="200" w:line="276"/>
      </w:pPr>
      <w:r>
        <w:t xml:space="preserve">The strategic point: if a regulator challenges the consumer app in a specific jurisdiction, the oracle and exchange continue operating globally. If a regulator challenges the exchange’s classification, the oracle continues producing prices for other venues. The separation creates optionality, not just defense.</w:t>
      </w:r>
    </w:p>
    <w:p>
      <w:pPr>
        <w:pBdr>
          <w:bottom w:val="single" w:color="DDDDDD" w:sz="1" w:space="8"/>
        </w:pBdr>
        <w:spacing w:after="280" w:before="280"/>
      </w:pPr>
    </w:p>
    <w:p>
      <w:pPr>
        <w:pStyle w:val="Heading1"/>
      </w:pPr>
      <w:r>
        <w:t xml:space="preserve">Why Now</w:t>
      </w:r>
    </w:p>
    <w:p>
      <w:pPr>
        <w:spacing w:after="200" w:line="276"/>
      </w:pPr>
      <w:r>
        <w:t xml:space="preserve">Three preconditions arrived in the same 18-month window. None existed before 2024.</w:t>
      </w:r>
    </w:p>
    <w:p>
      <w:pPr>
        <w:spacing w:after="200" w:line="276"/>
      </w:pPr>
      <w:r>
        <w:rPr>
          <w:b/>
          <w:bCs/>
        </w:rPr>
        <w:t xml:space="preserve">On-chain perps proved they work at scale. </w:t>
      </w:r>
      <w:r>
        <w:t xml:space="preserve">Hyperliquid reached $6.7T in annualized volume on a non-custodial exchange. This validated the full mechanic—funding rates, margin, liquidation—without a centralized intermediary. Before Hyperliquid, the question was whether perp infrastructure could scale outside Binance and Bybit. That question is answered.</w:t>
      </w:r>
    </w:p>
    <w:p>
      <w:pPr>
        <w:spacing w:after="200" w:line="276"/>
      </w:pPr>
      <w:r>
        <w:rPr>
          <w:b/>
          <w:bCs/>
        </w:rPr>
        <w:t xml:space="preserve">Prediction markets trained users to trade sports in market format. </w:t>
      </w:r>
      <w:r>
        <w:t xml:space="preserve">Polymarket went mainstream off the 2024 U.S. election, then sports became its fastest-growing vertical. FalconX estimates $64B in 2025 prediction market volume with a $325B+ annualized run rate off January 2026. Sports accounted for roughly 90% of Kalshi’s recent notional volume. The demand exists. But prediction markets are still binary and event-driven—they resolve and disappear. We build the persistent layer.</w:t>
      </w:r>
    </w:p>
    <w:p>
      <w:pPr>
        <w:spacing w:after="200" w:line="276"/>
      </w:pPr>
      <w:r>
        <w:rPr>
          <w:b/>
          <w:bCs/>
        </w:rPr>
        <w:t xml:space="preserve">Regulators are actively onshoring perps—and cracking down on event contracts. </w:t>
      </w:r>
      <w:r>
        <w:t xml:space="preserve">This is the non-obvious tailwind, and it’s the most important one. Two things are happening simultaneously. First, perpetual derivatives are being welcomed into U.S. markets: Coinbase launched CFTC-regulated perpetual futures in July 2025. The SEC and CFTC issued a joint statement in September 2025 announcing “innovation exemptions” for perps. On March 3, 2026, CFTC Chairman Michael Selig said at the Milken Institute that the agency will create a formal framework for true perpetual futures “within the next month or so,” explicitly aiming to recapture offshore liquidity. He also directed staff to withdraw the 2024 rule proposal that would have prohibited sports-related event contracts, and the 2025 advisory cautioning against them. Second, event-contract platforms are under siege: 12+ state-level actions have targeted Kalshi and Polymarket. Arizona filed 20 felony counts. A Nevada judge issued a TRO (Reuters, March 2026). A bipartisan Senate bill proposes banning sports contracts on prediction platforms. Notch’s instrument—a perpetual derivative on a continuous team index—is in the lane regulators are opening, not the lane they’re closing.</w:t>
      </w:r>
    </w:p>
    <w:p>
      <w:pPr>
        <w:spacing w:after="200" w:line="276"/>
      </w:pPr>
      <w:r>
        <w:rPr>
          <w:b/>
          <w:bCs/>
        </w:rPr>
        <w:t xml:space="preserve">The World Cup is the catalyst. </w:t>
      </w:r>
      <w:r>
        <w:t xml:space="preserve">June–July 2026, hosted across the U.S., Mexico, and Canada. The largest single sporting event on earth, on U.S. soil, during the window when prediction markets are being restricted and our consumer app launches. A user on Notch can hold a position on their national team through the entire tournament. No sportsbook can replicate that.</w:t>
      </w:r>
    </w:p>
    <w:p>
      <w:pPr>
        <w:pBdr>
          <w:bottom w:val="single" w:color="DDDDDD" w:sz="1" w:space="8"/>
        </w:pBdr>
        <w:spacing w:after="280" w:before="280"/>
      </w:pPr>
    </w:p>
    <w:p>
      <w:pPr>
        <w:pStyle w:val="Heading1"/>
      </w:pPr>
      <w:r>
        <w:t xml:space="preserve">Questions We Know You’ll Ask</w:t>
      </w:r>
    </w:p>
    <w:p>
      <w:pPr>
        <w:pStyle w:val="Heading2"/>
      </w:pPr>
      <w:r>
        <w:t xml:space="preserve">How do you bootstrap liquidity with no users?</w:t>
      </w:r>
    </w:p>
    <w:p>
      <w:pPr>
        <w:spacing w:after="200" w:line="276"/>
      </w:pPr>
      <w:r>
        <w:t xml:space="preserve">Three mechanisms. First, crypto-native traders on Tail.trade are the initial liquidity source—they understand perp mechanics and are looking for uncorrelated alpha. Sports is a new underlying with clear, high-frequency catalysts (matches, transfers, injuries), which makes it attractive to traders who are already saturated on crypto-native assets. Second, the oracle creates a built-in arbitrage surface: any dislocation between the Notch perp price and the odds-implied fair value on sportsbooks or prediction markets is a tradeable opportunity for professional market makers. This is not hypothetical—it’s the same mechanism that bootstrapped liquidity on every perp exchange. Third, $500K of this raise is allocated to market seeding for tight initial spreads.</w:t>
      </w:r>
    </w:p>
    <w:p>
      <w:pPr>
        <w:pStyle w:val="Heading2"/>
      </w:pPr>
      <w:r>
        <w:t xml:space="preserve">Why not launch on Hyperliquid?</w:t>
      </w:r>
    </w:p>
    <w:p>
      <w:pPr>
        <w:spacing w:after="200" w:line="276"/>
      </w:pPr>
      <w:r>
        <w:t xml:space="preserve">Economics. To list on Hyperliquid, you stake 500K $HYPE (roughly $20M at current prices) for three free tickers, then participate in auctions for every additional ticker at approximately $50K each. To go live with 30 team markets—a minimum viable sports offering—that’s around $21M in capital and a month of participating in auctions. And that’s before we’ve validated whether the product works.</w:t>
      </w:r>
    </w:p>
    <w:p>
      <w:pPr>
        <w:spacing w:after="200" w:line="276"/>
      </w:pPr>
      <w:r>
        <w:t xml:space="preserve">We’re a seed-stage company raising $5M. Burning $21M on listing fees before proving product-market fit is not a serious option. Our own exchange infrastructure (Tail.trade) lets us launch 30+ markets mostly at the cost of sponsoring initial liquidity, where $500K is enough—and we can iterate on pricing and market mechanics in real time without paying for the privilege of listing.</w:t>
      </w:r>
    </w:p>
    <w:p>
      <w:pPr>
        <w:spacing w:after="200" w:line="276"/>
      </w:pPr>
      <w:r>
        <w:t xml:space="preserve">The Hyperliquid relationship becomes powerful after validation, not before. Once we drive tangible volume and prove that sports perps attract sustained trading activity, we have two paths: license the KOPS oracle to third parties who want to list sports markets on Hyperliquid, or list on Hyperliquid ourselves via partners and become the de facto owners of those markets from a position of strength. Either way, the oracle is what gives us control. We don’t need Hyperliquid’s infrastructure to validate. We need our own infrastructure to validate, and then Hyperliquid becomes a distribution channel.</w:t>
      </w:r>
    </w:p>
    <w:p>
      <w:pPr>
        <w:pStyle w:val="Heading2"/>
      </w:pPr>
      <w:r>
        <w:t xml:space="preserve">What happens when a team gets relegated?</w:t>
      </w:r>
    </w:p>
    <w:p>
      <w:pPr>
        <w:spacing w:after="200" w:line="276"/>
      </w:pPr>
      <w:r>
        <w:t xml:space="preserve">The price drops—potentially significantly—but it does not go to zero. Relegation is a finality event that reprices the team baseline. The team still exists, still plays in a lower division, still has transfers and match outcomes. A relegated team’s price reflects its new competitive context. This is analogous to a stock that gets delisted from a major index but continues trading: the price adjusts to reflect the new reality, it doesn’t vanish. The oracle handles this through the same mechanism it handles any other fundamental change: historical baseline adjusts, odds feeds reflect the new fixtures, and the price converges to the new fair value.</w:t>
      </w:r>
    </w:p>
    <w:p>
      <w:pPr>
        <w:pStyle w:val="Heading2"/>
      </w:pPr>
      <w:r>
        <w:t xml:space="preserve">Can the oracle be manipulated?</w:t>
      </w:r>
    </w:p>
    <w:p>
      <w:pPr>
        <w:spacing w:after="200" w:line="276"/>
      </w:pPr>
      <w:r>
        <w:t xml:space="preserve">The oracle blends 20+ independent bookmaker and prediction market feeds. To manipulate the price, you would need to simultaneously move the odds at enough bookmakers to shift the aggregated signal—which means taking large, losing positions across multiple regulated sportsbooks. That is expensive, traceable, and self-defeating. The historical performance baseline provides additional gravity: even if you briefly moved odds, the underlying form data doesn’t change. Match outcomes—which are the ultimate finality layer—are even harder to manipulate (and are crimes in every jurisdiction). The attack surface is much smaller than a single-source oracle and much harder to exploit profitably than manipulating a thin crypto order book.</w:t>
      </w:r>
    </w:p>
    <w:p>
      <w:pPr>
        <w:pStyle w:val="Heading2"/>
      </w:pPr>
      <w:r>
        <w:t xml:space="preserve">What’s the regulatory position?</w:t>
      </w:r>
    </w:p>
    <w:p>
      <w:pPr>
        <w:spacing w:after="200" w:line="276"/>
      </w:pPr>
      <w:r>
        <w:t xml:space="preserve">Perpetual derivatives are not in a gray area. They are being actively onshored by U.S. regulators. Coinbase launched CFTC-regulated perpetual futures in July 2025—no expiration, up to 10x leverage, self-certified under CFTC Regulation 40.2 with no objection raised. On March 3, 2026—three weeks ago—CFTC Chairman Michael Selig said at the Milken Institute that the agency will create a formal framework for true perpetual futures “within the next month or so,” explicitly stating the goal is to recapture liquidity that migrated offshore. The SEC and CFTC issued a joint statement in September 2025 announcing “innovation exemptions” to bring perps and other leveraged products into U.S. markets. Chairman Selig has also directed staff to withdraw the 2024 rule proposal that would have prohibited sports-related event contracts, and to withdraw the 2025 staff advisory that cautioned against sports-related contracts due to litigation.</w:t>
      </w:r>
    </w:p>
    <w:p>
      <w:pPr>
        <w:spacing w:after="200" w:line="276"/>
      </w:pPr>
      <w:r>
        <w:t xml:space="preserve">Our instrument is a perpetual derivative on a continuous index—the same instrument class the CFTC is actively building a framework to support. It is not an event contract. There is no binary payout, no single-event resolution, no “Will Arsenal win? Yes/No.” A Notch position tracks a team’s price across 50+ matches. The distinction between an index derivative and an event contract is not a novel legal theory—it is the same distinction regulators are currently using to separate perps (which they want onshore) from event bets (which states are challenging).</w:t>
      </w:r>
    </w:p>
    <w:p>
      <w:pPr>
        <w:spacing w:after="200" w:line="276"/>
      </w:pPr>
      <w:r>
        <w:t xml:space="preserve">The consumer layer (Notch.win) follows the Dreamcash/Hyperliquid model. Dreamcash is a Tether-backed, mobile-first, non-custodial frontend for Hyperliquid that launched RWA perpetuals (Tesla, S&amp;P 500, gold, Nvidia, Amazon) via HIP-3 in February 2026. Users maintain full self-custody through non-custodial wallets integrated into the app. Dreamcash does not custody funds, does not operate its own order book, and cannot freeze accounts or prevent withdrawals. Trades settle on Hyperliquid’s infrastructure. Notch.win is structurally identical: a non-custodial mobile frontend with fiat on-ramp, routing orders to Tail.trade’s exchange infrastructure. The user controls their own keys. The app layer never takes custody. This is not a novel architecture—it is the architecture that Tether just invested in and that is already live with real-world asset perps on Hyperliquid.</w:t>
      </w:r>
    </w:p>
    <w:p>
      <w:pPr>
        <w:pBdr>
          <w:bottom w:val="single" w:color="DDDDDD" w:sz="1" w:space="8"/>
        </w:pBdr>
        <w:spacing w:after="280" w:before="280"/>
      </w:pPr>
    </w:p>
    <w:p>
      <w:pPr>
        <w:pStyle w:val="Heading1"/>
      </w:pPr>
      <w:r>
        <w:t xml:space="preserve">Risks</w:t>
      </w:r>
    </w:p>
    <w:p>
      <w:pPr>
        <w:spacing w:after="200" w:line="276"/>
      </w:pPr>
      <w:r>
        <w:t xml:space="preserve">We see two material risks. Investors should understand how we think about each.</w:t>
      </w:r>
    </w:p>
    <w:p>
      <w:pPr>
        <w:spacing w:after="200" w:line="276"/>
      </w:pPr>
      <w:r>
        <w:rPr>
          <w:b/>
          <w:bCs/>
        </w:rPr>
        <w:t xml:space="preserve">Liquidity bootstrapping. </w:t>
      </w:r>
      <w:r>
        <w:t xml:space="preserve">A perpetual market with thin books is useless. If we can’t attract enough trading activity to produce tight spreads and meaningful depth, the product won’t retain users. Our mitigation is the arbitrage surface (which attracts professional MMs regardless of retail adoption), market seeding capital, and the Builder Codes channel (which routes existing sportsbook users to our order book without us acquiring them directly). But until we have proof of sustained daily volume, this is the primary execution risk.</w:t>
      </w:r>
    </w:p>
    <w:p>
      <w:pPr>
        <w:spacing w:after="200" w:line="276"/>
      </w:pPr>
      <w:r>
        <w:rPr>
          <w:b/>
          <w:bCs/>
        </w:rPr>
        <w:t xml:space="preserve">Regulatory evolution. </w:t>
      </w:r>
      <w:r>
        <w:t xml:space="preserve">Perpetual derivatives are being actively onshored by U.S. regulators—the CFTC Chairman said so publicly three weeks ago. Our instrument is an index derivative, not an event contract, and that distinction is clear in both structure and precedent. The real risk is not classification—it’s timing and process. The CFTC’s formal perp framework is still being finalized. Legislative efforts (the Digital Asset Market Clarity Act) remain in negotiation. If the framework takes longer than expected, or if new rulemaking introduces requirements we haven’t anticipated, we may need to adapt our structure or operating model. The three-entity architecture gives us flexibility to do that without unwinding the entire company. But regulatory timelines are outside our control.</w:t>
      </w:r>
    </w:p>
    <w:p>
      <w:pPr>
        <w:pBdr>
          <w:bottom w:val="single" w:color="DDDDDD" w:sz="1" w:space="8"/>
        </w:pBdr>
        <w:spacing w:after="280" w:before="280"/>
      </w:pPr>
    </w:p>
    <w:p>
      <w:pPr>
        <w:pStyle w:val="Heading1"/>
      </w:pPr>
      <w:r>
        <w:t xml:space="preserve">The Ask</w:t>
      </w:r>
    </w:p>
    <w:p>
      <w:pPr>
        <w:spacing w:after="200" w:line="276"/>
      </w:pPr>
      <w:r>
        <w:t xml:space="preserve">$5M at $50M post-money valuation via SAFE + Token Warrant.</w:t>
      </w:r>
    </w:p>
    <w:p>
      <w:pPr>
        <w:spacing w:after="200" w:line="276"/>
      </w:pPr>
      <w:r>
        <w:t xml:space="preserve">50% Engineering ($2.5M): consumer app, oracle V3, multi-sport integration, infrastructure scaling. 25% GTM ($1.25M): World Cup 2026 activation, creator/affiliate programs, Builder Code partner onboarding. 10% Market seeding ($500K): initial liquidity provision. 10% Legal and compliance ($500K): three-entity maintenance, CFTC engagement, licensing. 5% Oracle and data ($250K): additional feeds, academic partnerships, coverage expansion.</w:t>
      </w:r>
    </w:p>
    <w:p>
      <w:pPr>
        <w:spacing w:after="200" w:line="276"/>
      </w:pPr>
      <w:r>
        <w:rPr>
          <w:b/>
          <w:bCs/>
        </w:rPr>
        <w:t xml:space="preserve">Milestones this unlocks: </w:t>
      </w:r>
      <w:r>
        <w:t xml:space="preserve">Consumer app live with fiat on-ramp before the World Cup. World Cup activation as first major retail acquisition event. Builder Code program launched with initial sportsbook partners. Oracle coverage across all four major sports. Path to $10M+/day in average trading volume on the base case.</w:t>
      </w:r>
    </w:p>
    <w:p>
      <w:pPr>
        <w:spacing w:after="200" w:before="200"/>
      </w:pPr>
    </w:p>
    <w:p>
      <w:pPr>
        <w:pBdr>
          <w:top w:val="single" w:color="DDDDDD" w:sz="1" w:space="8"/>
        </w:pBdr>
        <w:spacing w:after="200" w:before="200"/>
      </w:pPr>
      <w:r>
        <w:rPr>
          <w:i/>
          <w:iCs/>
        </w:rPr>
        <w:t xml:space="preserve">Taking over a trillion dollar industry.</w:t>
      </w:r>
    </w:p>
    <w:p>
      <w:pPr>
        <w:spacing w:after="200" w:before="200"/>
      </w:pPr>
    </w:p>
    <w:p>
      <w:pPr>
        <w:spacing w:after="40"/>
      </w:pPr>
      <w:r>
        <w:rPr>
          <w:rFonts w:ascii="Arial" w:cs="Arial" w:eastAsia="Arial" w:hAnsi="Arial"/>
          <w:b/>
          <w:bCs/>
          <w:color w:val="444444"/>
          <w:sz w:val="20"/>
          <w:szCs w:val="20"/>
        </w:rPr>
        <w:t xml:space="preserve">Contact</w:t>
      </w:r>
    </w:p>
    <w:p>
      <w:pPr>
        <w:spacing w:after="40"/>
      </w:pPr>
      <w:r>
        <w:rPr>
          <w:rFonts w:ascii="Arial" w:cs="Arial" w:eastAsia="Arial" w:hAnsi="Arial"/>
          <w:color w:val="666666"/>
          <w:sz w:val="20"/>
          <w:szCs w:val="20"/>
        </w:rPr>
        <w:t xml:space="preserve">ops at notch.win</w:t>
      </w:r>
    </w:p>
    <w:p>
      <w:pPr>
        <w:spacing w:after="40"/>
      </w:pPr>
      <w:r>
        <w:rPr>
          <w:rFonts w:ascii="Arial" w:cs="Arial" w:eastAsia="Arial" w:hAnsi="Arial"/>
          <w:color w:val="999999"/>
          <w:sz w:val="20"/>
          <w:szCs w:val="20"/>
        </w:rPr>
        <w:t xml:space="preserve">notch.win  ·  kops.ai  ·  tail.trade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Notch  ·  Investment Memo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333333"/>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