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120"/>
        <w:jc w:val="center"/>
      </w:pPr>
      <w:r>
        <w:rPr>
          <w:rFonts w:ascii="Arial" w:cs="Arial" w:eastAsia="Arial" w:hAnsi="Arial"/>
          <w:b/>
          <w:bCs/>
          <w:color w:val="2E86AB"/>
          <w:spacing w:val="80"/>
          <w:sz w:val="20"/>
          <w:szCs w:val="20"/>
        </w:rPr>
        <w:t xml:space="preserve">ARCHITECTURAL KATA — CASE #6</w:t>
      </w:r>
    </w:p>
    <w:p>
      <w:pPr>
        <w:spacing w:before="0" w:after="80"/>
        <w:jc w:val="center"/>
      </w:pPr>
      <w:r>
        <w:rPr>
          <w:rFonts w:ascii="Arial" w:cs="Arial" w:eastAsia="Arial" w:hAnsi="Arial"/>
          <w:b/>
          <w:bCs/>
          <w:color w:val="1B3A5C"/>
          <w:sz w:val="72"/>
          <w:szCs w:val="72"/>
        </w:rPr>
        <w:t xml:space="preserve">SiteOS</w:t>
      </w:r>
    </w:p>
    <w:p>
      <w:pPr>
        <w:spacing w:before="0" w:after="600"/>
        <w:jc w:val="center"/>
      </w:pPr>
      <w:r>
        <w:rPr>
          <w:rFonts w:ascii="Arial" w:cs="Arial" w:eastAsia="Arial" w:hAnsi="Arial"/>
          <w:i/>
          <w:iCs/>
          <w:color w:val="2E86AB"/>
          <w:sz w:val="36"/>
          <w:szCs w:val="36"/>
        </w:rPr>
        <w:t xml:space="preserve">Construction Site Digital Twin Platform</w:t>
      </w:r>
    </w:p>
    <w:p>
      <w:pPr>
        <w:pBdr>
          <w:bottom w:val="single" w:color="2E86AB" w:sz="8" w:space="1"/>
        </w:pBdr>
        <w:spacing w:before="0" w:after="120"/>
      </w:pPr>
    </w:p>
    <w:p>
      <w:pPr>
        <w:spacing w:before="0" w:after="16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EBF4F8" w:val="clear"/>
            <w:tcMar>
              <w:top w:type="dxa" w:w="100"/>
              <w:left w:type="dxa" w:w="160"/>
              <w:bottom w:type="dxa" w:w="100"/>
              <w:right w:type="dxa" w:w="160"/>
            </w:tcMar>
          </w:tcPr>
          <w:p>
            <w:r>
              <w:rPr>
                <w:rFonts w:ascii="Arial" w:cs="Arial" w:eastAsia="Arial" w:hAnsi="Arial"/>
                <w:b/>
                <w:bCs/>
                <w:color w:val="1B3A5C"/>
                <w:sz w:val="22"/>
                <w:szCs w:val="22"/>
              </w:rPr>
              <w:t xml:space="preserve">Event Type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Architectural Kata Workshop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22"/>
                <w:szCs w:val="22"/>
              </w:rPr>
              <w:t xml:space="preserve">Difficulty</w:t>
            </w:r>
          </w:p>
        </w:tc>
        <w:tc>
          <w:tcPr>
            <w:tcW w:type="dxa" w:w="4600"/>
            <w:tcBorders>
              <w:top w:val="single" w:color="CCCCCC" w:sz="1"/>
              <w:left w:val="single" w:color="CCCCCC" w:sz="1"/>
              <w:bottom w:val="single" w:color="CCCCCC" w:sz="1"/>
              <w:right w:val="single" w:color="CCCCCC" w:sz="1"/>
            </w:tcBorders>
            <w:shd w:fill="EBF4F8" w:val="clear"/>
            <w:tcMar>
              <w:top w:type="dxa" w:w="100"/>
              <w:left w:type="dxa" w:w="160"/>
              <w:bottom w:type="dxa" w:w="100"/>
              <w:right w:type="dxa" w:w="160"/>
            </w:tcMar>
          </w:tcPr>
          <w:p>
            <w:r>
              <w:rPr>
                <w:rFonts w:ascii="Arial" w:cs="Arial" w:eastAsia="Arial" w:hAnsi="Arial"/>
                <w:color w:val="2D2D2D"/>
                <w:sz w:val="22"/>
                <w:szCs w:val="22"/>
              </w:rPr>
              <w:t xml:space="preserve">Advanced</w:t>
            </w:r>
          </w:p>
        </w:tc>
      </w:tr>
      <w:tr>
        <w:tc>
          <w:tcPr>
            <w:tcW w:type="dxa" w:w="2400"/>
            <w:tcBorders>
              <w:top w:val="single" w:color="CCCCCC" w:sz="1"/>
              <w:left w:val="single" w:color="CCCCCC" w:sz="1"/>
              <w:bottom w:val="single" w:color="CCCCCC" w:sz="1"/>
              <w:right w:val="single" w:color="CCCCCC" w:sz="1"/>
            </w:tcBorders>
            <w:shd w:fill="EBF4F8" w:val="clear"/>
            <w:tcMar>
              <w:top w:type="dxa" w:w="100"/>
              <w:left w:type="dxa" w:w="160"/>
              <w:bottom w:type="dxa" w:w="100"/>
              <w:right w:type="dxa" w:w="160"/>
            </w:tcMar>
          </w:tcPr>
          <w:p>
            <w:r>
              <w:rPr>
                <w:rFonts w:ascii="Arial" w:cs="Arial" w:eastAsia="Arial" w:hAnsi="Arial"/>
                <w:b/>
                <w:bCs/>
                <w:color w:val="1B3A5C"/>
                <w:sz w:val="22"/>
                <w:szCs w:val="22"/>
              </w:rPr>
              <w:t xml:space="preserve">Recommended Team Size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4–6 Engineers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B3A5C"/>
                <w:sz w:val="22"/>
                <w:szCs w:val="22"/>
              </w:rPr>
              <w:t xml:space="preserve">Time Allocation</w:t>
            </w:r>
          </w:p>
        </w:tc>
        <w:tc>
          <w:tcPr>
            <w:tcW w:type="dxa" w:w="4600"/>
            <w:tcBorders>
              <w:top w:val="single" w:color="CCCCCC" w:sz="1"/>
              <w:left w:val="single" w:color="CCCCCC" w:sz="1"/>
              <w:bottom w:val="single" w:color="CCCCCC" w:sz="1"/>
              <w:right w:val="single" w:color="CCCCCC" w:sz="1"/>
            </w:tcBorders>
            <w:shd w:fill="EBF4F8" w:val="clear"/>
            <w:tcMar>
              <w:top w:type="dxa" w:w="100"/>
              <w:left w:type="dxa" w:w="160"/>
              <w:bottom w:type="dxa" w:w="100"/>
              <w:right w:type="dxa" w:w="160"/>
            </w:tcMar>
          </w:tcPr>
          <w:p>
            <w:r>
              <w:rPr>
                <w:rFonts w:ascii="Arial" w:cs="Arial" w:eastAsia="Arial" w:hAnsi="Arial"/>
                <w:color w:val="2D2D2D"/>
                <w:sz w:val="22"/>
                <w:szCs w:val="22"/>
              </w:rPr>
              <w:t xml:space="preserve">90–120 Minutes</w:t>
            </w:r>
          </w:p>
        </w:tc>
      </w:tr>
      <w:tr>
        <w:tc>
          <w:tcPr>
            <w:tcW w:type="dxa" w:w="2400"/>
            <w:tcBorders>
              <w:top w:val="single" w:color="CCCCCC" w:sz="1"/>
              <w:left w:val="single" w:color="CCCCCC" w:sz="1"/>
              <w:bottom w:val="single" w:color="CCCCCC" w:sz="1"/>
              <w:right w:val="single" w:color="CCCCCC" w:sz="1"/>
            </w:tcBorders>
            <w:shd w:fill="EBF4F8" w:val="clear"/>
            <w:tcMar>
              <w:top w:type="dxa" w:w="100"/>
              <w:left w:type="dxa" w:w="160"/>
              <w:bottom w:type="dxa" w:w="100"/>
              <w:right w:type="dxa" w:w="160"/>
            </w:tcMar>
          </w:tcPr>
          <w:p>
            <w:r>
              <w:rPr>
                <w:rFonts w:ascii="Arial" w:cs="Arial" w:eastAsia="Arial" w:hAnsi="Arial"/>
                <w:b/>
                <w:bCs/>
                <w:color w:val="1B3A5C"/>
                <w:sz w:val="22"/>
                <w:szCs w:val="22"/>
              </w:rPr>
              <w:t xml:space="preserve">Primary Domains</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IoT / Real-Time / Digital Twin / Safety</w:t>
            </w:r>
          </w:p>
        </w:tc>
      </w:tr>
    </w:tbl>
    <w:p>
      <w:pPr>
        <w:spacing w:before="0" w:after="320"/>
      </w:pPr>
    </w:p>
    <w:p>
      <w:pPr>
        <w:spacing w:before="0" w:after="0"/>
        <w:jc w:val="center"/>
      </w:pPr>
      <w:r>
        <w:rPr>
          <w:rFonts w:ascii="Arial" w:cs="Arial" w:eastAsia="Arial" w:hAnsi="Arial"/>
          <w:i/>
          <w:iCs/>
          <w:color w:val="2E86AB"/>
          <w:sz w:val="18"/>
          <w:szCs w:val="18"/>
        </w:rPr>
        <w:t xml:space="preserve">Architectural Kata Series  ·  February 2026</w:t>
      </w:r>
    </w:p>
    <w:p>
      <w:r>
        <w:br w:type="page"/>
      </w:r>
    </w:p>
    <w:p>
      <w:pPr>
        <w:spacing w:before="360" w:after="80"/>
      </w:pPr>
      <w:r>
        <w:rPr>
          <w:rFonts w:ascii="Arial" w:cs="Arial" w:eastAsia="Arial" w:hAnsi="Arial"/>
          <w:b/>
          <w:bCs/>
          <w:color w:val="2E86AB"/>
          <w:spacing w:val="40"/>
          <w:sz w:val="18"/>
          <w:szCs w:val="18"/>
        </w:rPr>
        <w:t xml:space="preserve">SECTION 1</w:t>
      </w:r>
    </w:p>
    <w:p>
      <w:pPr>
        <w:pStyle w:val="Heading1"/>
        <w:spacing w:before="480" w:after="160"/>
      </w:pPr>
      <w:r>
        <w:rPr>
          <w:rFonts w:ascii="Arial" w:cs="Arial" w:eastAsia="Arial" w:hAnsi="Arial"/>
          <w:b/>
          <w:bCs/>
          <w:color w:val="1B3A5C"/>
          <w:sz w:val="36"/>
          <w:szCs w:val="36"/>
        </w:rPr>
        <w:t xml:space="preserve">Scenario Overview</w:t>
      </w:r>
    </w:p>
    <w:p>
      <w:pPr>
        <w:pBdr>
          <w:bottom w:val="single" w:color="2E86AB" w:sz="8" w:space="1"/>
        </w:pBdr>
        <w:spacing w:before="0" w:after="120"/>
      </w:pPr>
    </w:p>
    <w:p>
      <w:pPr>
        <w:spacing w:before="0" w:after="80"/>
      </w:pPr>
    </w:p>
    <w:p>
      <w:pPr>
        <w:pStyle w:val="Heading2"/>
        <w:spacing w:before="320" w:after="120"/>
      </w:pPr>
      <w:r>
        <w:rPr>
          <w:rFonts w:ascii="Arial" w:cs="Arial" w:eastAsia="Arial" w:hAnsi="Arial"/>
          <w:b/>
          <w:bCs/>
          <w:color w:val="2E86AB"/>
          <w:sz w:val="26"/>
          <w:szCs w:val="26"/>
        </w:rPr>
        <w:t xml:space="preserve">Background</w:t>
      </w:r>
    </w:p>
    <w:p>
      <w:pPr>
        <w:spacing w:before="80" w:after="100"/>
      </w:pPr>
      <w:r>
        <w:rPr>
          <w:rFonts w:ascii="Arial" w:cs="Arial" w:eastAsia="Arial" w:hAnsi="Arial"/>
          <w:color w:val="2D2D2D"/>
          <w:sz w:val="22"/>
          <w:szCs w:val="22"/>
        </w:rPr>
        <w:t xml:space="preserve">GlobalBuild Group is one of the world's largest construction conglomerates, operating 340 active construction sites across 28 countries. Their portfolio spans high-rise residential towers, infrastructure megaprojects (bridges, tunnels, airports), and industrial facility builds. Each site employs between 80 and 2,400 workers and operates fleets of heavy equipment including cranes, excavators, concrete pumps, and autonomous site vehicles.</w:t>
      </w:r>
    </w:p>
    <w:p>
      <w:pPr>
        <w:spacing w:before="0" w:after="80"/>
      </w:pPr>
    </w:p>
    <w:p>
      <w:pPr>
        <w:spacing w:before="80" w:after="100"/>
      </w:pPr>
      <w:r>
        <w:rPr>
          <w:rFonts w:ascii="Arial" w:cs="Arial" w:eastAsia="Arial" w:hAnsi="Arial"/>
          <w:color w:val="2D2D2D"/>
          <w:sz w:val="22"/>
          <w:szCs w:val="22"/>
        </w:rPr>
        <w:t xml:space="preserve">Despite their scale, GlobalBuild's operational intelligence remains fragmented. Site managers rely on paper-based inspection sheets, disparate sensor dashboards, and daily walk-throughs to understand site conditions. Safety incidents frequently go undetected until after the fact. Equipment utilization rates average only 61%, well below industry potential. Cross-site knowledge — understanding that a technique used in Frankfurt could solve a problem in Singapore — is essentially impossible to leverage today.</w:t>
      </w:r>
    </w:p>
    <w:p>
      <w:pPr>
        <w:spacing w:before="0" w:after="80"/>
      </w:pPr>
    </w:p>
    <w:p>
      <w:pPr>
        <w:pStyle w:val="Heading2"/>
        <w:spacing w:before="320" w:after="120"/>
      </w:pPr>
      <w:r>
        <w:rPr>
          <w:rFonts w:ascii="Arial" w:cs="Arial" w:eastAsia="Arial" w:hAnsi="Arial"/>
          <w:b/>
          <w:bCs/>
          <w:color w:val="2E86AB"/>
          <w:sz w:val="26"/>
          <w:szCs w:val="26"/>
        </w:rPr>
        <w:t xml:space="preserve">The Opportunity</w:t>
      </w:r>
    </w:p>
    <w:p>
      <w:pPr>
        <w:spacing w:before="80" w:after="100"/>
      </w:pPr>
      <w:r>
        <w:rPr>
          <w:rFonts w:ascii="Arial" w:cs="Arial" w:eastAsia="Arial" w:hAnsi="Arial"/>
          <w:color w:val="2D2D2D"/>
          <w:sz w:val="22"/>
          <w:szCs w:val="22"/>
        </w:rPr>
        <w:t xml:space="preserve">GlobalBuild's Chief Digital Officer has secured board approval to build SiteOS: a real-time digital twin platform that creates a continuously-updated virtual replica of every active construction site. SiteOS will aggregate data from multiple physical and digital sources to give site managers, safety officers, project directors, and executives an accurate, shared operational picture — enabling faster decisions, fewer incidents, and measurable cost savings.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CCCCC" w:sz="1"/>
              <w:right w:val="single" w:color="CCCCCC" w:sz="1"/>
            </w:tcBorders>
            <w:shd w:fill="EBF4F8" w:val="clear"/>
            <w:tcMar>
              <w:top w:type="dxa" w:w="120"/>
              <w:left w:type="dxa" w:w="200"/>
              <w:bottom w:type="dxa" w:w="120"/>
              <w:right w:type="dxa" w:w="200"/>
            </w:tcMar>
          </w:tcPr>
          <w:p>
            <w:pPr>
              <w:spacing w:before="60" w:after="80"/>
            </w:pPr>
            <w:r>
              <w:rPr>
                <w:rFonts w:ascii="Arial" w:cs="Arial" w:eastAsia="Arial" w:hAnsi="Arial"/>
                <w:b/>
                <w:bCs/>
                <w:color w:val="2E86AB"/>
                <w:sz w:val="22"/>
                <w:szCs w:val="22"/>
              </w:rPr>
              <w:t xml:space="preserve">Business Objectives</w:t>
            </w:r>
          </w:p>
          <w:p>
            <w:pPr>
              <w:spacing w:before="40" w:after="40"/>
            </w:pPr>
            <w:r>
              <w:rPr>
                <w:rFonts w:ascii="Arial" w:cs="Arial" w:eastAsia="Arial" w:hAnsi="Arial"/>
                <w:color w:val="2D2D2D"/>
                <w:sz w:val="21"/>
                <w:szCs w:val="21"/>
              </w:rPr>
              <w:t xml:space="preserve">Reduce on-site safety incidents by 40% within 18 months of deployment.</w:t>
            </w:r>
          </w:p>
          <w:p>
            <w:pPr>
              <w:spacing w:before="40" w:after="40"/>
            </w:pPr>
            <w:r>
              <w:rPr>
                <w:rFonts w:ascii="Arial" w:cs="Arial" w:eastAsia="Arial" w:hAnsi="Arial"/>
                <w:color w:val="2D2D2D"/>
                <w:sz w:val="21"/>
                <w:szCs w:val="21"/>
              </w:rPr>
              <w:t xml:space="preserve">Increase equipment utilization from 61% to at least 78% within 24 months.</w:t>
            </w:r>
          </w:p>
          <w:p>
            <w:pPr>
              <w:spacing w:before="40" w:after="40"/>
            </w:pPr>
            <w:r>
              <w:rPr>
                <w:rFonts w:ascii="Arial" w:cs="Arial" w:eastAsia="Arial" w:hAnsi="Arial"/>
                <w:color w:val="2D2D2D"/>
                <w:sz w:val="21"/>
                <w:szCs w:val="21"/>
              </w:rPr>
              <w:t xml:space="preserve">Cut daily site management reporting time per manager from 2.5 hours to under 30 minutes.</w:t>
            </w:r>
          </w:p>
          <w:p>
            <w:pPr>
              <w:spacing w:before="40" w:after="40"/>
            </w:pPr>
            <w:r>
              <w:rPr>
                <w:rFonts w:ascii="Arial" w:cs="Arial" w:eastAsia="Arial" w:hAnsi="Arial"/>
                <w:color w:val="2D2D2D"/>
                <w:sz w:val="21"/>
                <w:szCs w:val="21"/>
              </w:rPr>
              <w:t xml:space="preserve">Enable cross-site intelligence: detect and share patterns across the site network.</w:t>
            </w:r>
          </w:p>
          <w:p>
            <w:pPr>
              <w:spacing w:before="40" w:after="40"/>
            </w:pPr>
            <w:r>
              <w:rPr>
                <w:rFonts w:ascii="Arial" w:cs="Arial" w:eastAsia="Arial" w:hAnsi="Arial"/>
                <w:color w:val="2D2D2D"/>
                <w:sz w:val="21"/>
                <w:szCs w:val="21"/>
              </w:rPr>
              <w:t xml:space="preserve">Provide real-time dashboards to clients and project directors without manual report preparation.</w:t>
            </w:r>
          </w:p>
        </w:tc>
      </w:tr>
    </w:tbl>
    <w:p>
      <w:pPr>
        <w:spacing w:before="0" w:after="160"/>
      </w:pPr>
    </w:p>
    <w:p>
      <w:r>
        <w:br w:type="page"/>
      </w:r>
    </w:p>
    <w:p>
      <w:pPr>
        <w:spacing w:before="360" w:after="80"/>
      </w:pPr>
      <w:r>
        <w:rPr>
          <w:rFonts w:ascii="Arial" w:cs="Arial" w:eastAsia="Arial" w:hAnsi="Arial"/>
          <w:b/>
          <w:bCs/>
          <w:color w:val="2E86AB"/>
          <w:spacing w:val="40"/>
          <w:sz w:val="18"/>
          <w:szCs w:val="18"/>
        </w:rPr>
        <w:t xml:space="preserve">SECTION 2</w:t>
      </w:r>
    </w:p>
    <w:p>
      <w:pPr>
        <w:pStyle w:val="Heading1"/>
        <w:spacing w:before="480" w:after="160"/>
      </w:pPr>
      <w:r>
        <w:rPr>
          <w:rFonts w:ascii="Arial" w:cs="Arial" w:eastAsia="Arial" w:hAnsi="Arial"/>
          <w:b/>
          <w:bCs/>
          <w:color w:val="1B3A5C"/>
          <w:sz w:val="36"/>
          <w:szCs w:val="36"/>
        </w:rPr>
        <w:t xml:space="preserve">Data Sources &amp; Integrations</w:t>
      </w:r>
    </w:p>
    <w:p>
      <w:pPr>
        <w:pBdr>
          <w:bottom w:val="single" w:color="2E86AB" w:sz="8" w:space="1"/>
        </w:pBdr>
        <w:spacing w:before="0" w:after="120"/>
      </w:pPr>
    </w:p>
    <w:p>
      <w:pPr>
        <w:spacing w:before="0" w:after="80"/>
      </w:pPr>
    </w:p>
    <w:p>
      <w:pPr>
        <w:spacing w:before="80" w:after="100"/>
      </w:pPr>
      <w:r>
        <w:rPr>
          <w:rFonts w:ascii="Arial" w:cs="Arial" w:eastAsia="Arial" w:hAnsi="Arial"/>
          <w:color w:val="2D2D2D"/>
          <w:sz w:val="22"/>
          <w:szCs w:val="22"/>
        </w:rPr>
        <w:t xml:space="preserve">SiteOS must ingest and correlate data from the following source categories simultaneously. Teams should consider each source's volume, velocity, schema consistency, and reliability profile when designing the ingestion architecture.</w:t>
      </w:r>
    </w:p>
    <w:p>
      <w:pPr>
        <w:spacing w:before="0" w:after="80"/>
      </w:pPr>
    </w:p>
    <w:p>
      <w:pPr>
        <w:pStyle w:val="Heading2"/>
        <w:spacing w:before="320" w:after="120"/>
      </w:pPr>
      <w:r>
        <w:rPr>
          <w:rFonts w:ascii="Arial" w:cs="Arial" w:eastAsia="Arial" w:hAnsi="Arial"/>
          <w:b/>
          <w:bCs/>
          <w:color w:val="2E86AB"/>
          <w:sz w:val="26"/>
          <w:szCs w:val="26"/>
        </w:rPr>
        <w:t xml:space="preserve">Primary Data Streams</w:t>
      </w:r>
    </w:p>
    <w:p>
      <w:pPr>
        <w:pStyle w:val="Heading3"/>
        <w:spacing w:before="240" w:after="80"/>
      </w:pPr>
      <w:r>
        <w:rPr>
          <w:rFonts w:ascii="Arial" w:cs="Arial" w:eastAsia="Arial" w:hAnsi="Arial"/>
          <w:b/>
          <w:bCs/>
          <w:color w:val="1B3A5C"/>
          <w:sz w:val="22"/>
          <w:szCs w:val="22"/>
        </w:rPr>
        <w:t xml:space="preserve">IoT Sensor Network</w:t>
      </w:r>
    </w:p>
    <w:p>
      <w:pPr>
        <w:spacing w:before="80" w:after="100"/>
      </w:pPr>
      <w:r>
        <w:rPr>
          <w:rFonts w:ascii="Arial" w:cs="Arial" w:eastAsia="Arial" w:hAnsi="Arial"/>
          <w:color w:val="2D2D2D"/>
          <w:sz w:val="22"/>
          <w:szCs w:val="22"/>
        </w:rPr>
        <w:t xml:space="preserve">Each site deploys a mesh of 200–1,400 IoT sensors depending on site size. Sensor types include:</w:t>
      </w:r>
    </w:p>
    <w:p>
      <w:pPr>
        <w:pStyle w:val="ListParagraph"/>
        <w:numPr>
          <w:ilvl w:val="0"/>
          <w:numId w:val="2"/>
        </w:numPr>
        <w:spacing w:before="60" w:after="60"/>
      </w:pPr>
      <w:r>
        <w:rPr>
          <w:rFonts w:ascii="Arial" w:cs="Arial" w:eastAsia="Arial" w:hAnsi="Arial"/>
          <w:b/>
          <w:bCs/>
          <w:color w:val="1B3A5C"/>
          <w:sz w:val="22"/>
          <w:szCs w:val="22"/>
        </w:rPr>
        <w:t xml:space="preserve">Structural strain gauges:</w:t>
      </w:r>
      <w:r>
        <w:rPr>
          <w:rFonts w:ascii="Arial" w:cs="Arial" w:eastAsia="Arial" w:hAnsi="Arial"/>
          <w:color w:val="2D2D2D"/>
          <w:sz w:val="22"/>
          <w:szCs w:val="22"/>
        </w:rPr>
        <w:t xml:space="preserve"> embedded in concrete pours, scaffolding, and load-bearing elements. Emit readings every 500ms. 12,000 sensors across all sites.</w:t>
      </w:r>
    </w:p>
    <w:p>
      <w:pPr>
        <w:pStyle w:val="ListParagraph"/>
        <w:numPr>
          <w:ilvl w:val="0"/>
          <w:numId w:val="2"/>
        </w:numPr>
        <w:spacing w:before="60" w:after="60"/>
      </w:pPr>
      <w:r>
        <w:rPr>
          <w:rFonts w:ascii="Arial" w:cs="Arial" w:eastAsia="Arial" w:hAnsi="Arial"/>
          <w:b/>
          <w:bCs/>
          <w:color w:val="1B3A5C"/>
          <w:sz w:val="22"/>
          <w:szCs w:val="22"/>
        </w:rPr>
        <w:t xml:space="preserve">Soil moisture &amp; compaction sensors:</w:t>
      </w:r>
      <w:r>
        <w:rPr>
          <w:rFonts w:ascii="Arial" w:cs="Arial" w:eastAsia="Arial" w:hAnsi="Arial"/>
          <w:color w:val="2D2D2D"/>
          <w:sz w:val="22"/>
          <w:szCs w:val="22"/>
        </w:rPr>
        <w:t xml:space="preserve"> relevant for foundation integrity. Emit every 60 seconds. 4,000 sensors total.</w:t>
      </w:r>
    </w:p>
    <w:p>
      <w:pPr>
        <w:pStyle w:val="ListParagraph"/>
        <w:numPr>
          <w:ilvl w:val="0"/>
          <w:numId w:val="2"/>
        </w:numPr>
        <w:spacing w:before="60" w:after="60"/>
      </w:pPr>
      <w:r>
        <w:rPr>
          <w:rFonts w:ascii="Arial" w:cs="Arial" w:eastAsia="Arial" w:hAnsi="Arial"/>
          <w:b/>
          <w:bCs/>
          <w:color w:val="1B3A5C"/>
          <w:sz w:val="22"/>
          <w:szCs w:val="22"/>
        </w:rPr>
        <w:t xml:space="preserve">Environmental sensors:</w:t>
      </w:r>
      <w:r>
        <w:rPr>
          <w:rFonts w:ascii="Arial" w:cs="Arial" w:eastAsia="Arial" w:hAnsi="Arial"/>
          <w:color w:val="2D2D2D"/>
          <w:sz w:val="22"/>
          <w:szCs w:val="22"/>
        </w:rPr>
        <w:t xml:space="preserve"> temperature, humidity, air quality (dust, CO, NOx). Emit every 30 seconds. 18,000 sensors total.</w:t>
      </w:r>
    </w:p>
    <w:p>
      <w:pPr>
        <w:pStyle w:val="ListParagraph"/>
        <w:numPr>
          <w:ilvl w:val="0"/>
          <w:numId w:val="2"/>
        </w:numPr>
        <w:spacing w:before="60" w:after="60"/>
      </w:pPr>
      <w:r>
        <w:rPr>
          <w:rFonts w:ascii="Arial" w:cs="Arial" w:eastAsia="Arial" w:hAnsi="Arial"/>
          <w:b/>
          <w:bCs/>
          <w:color w:val="1B3A5C"/>
          <w:sz w:val="22"/>
          <w:szCs w:val="22"/>
        </w:rPr>
        <w:t xml:space="preserve">Vibration sensors:</w:t>
      </w:r>
      <w:r>
        <w:rPr>
          <w:rFonts w:ascii="Arial" w:cs="Arial" w:eastAsia="Arial" w:hAnsi="Arial"/>
          <w:color w:val="2D2D2D"/>
          <w:sz w:val="22"/>
          <w:szCs w:val="22"/>
        </w:rPr>
        <w:t xml:space="preserve"> on heavy machinery mounts and critical structural joints. Emit every 200ms during operation. 6,000 sensors total.</w:t>
      </w:r>
    </w:p>
    <w:p>
      <w:pPr>
        <w:pStyle w:val="ListParagraph"/>
        <w:numPr>
          <w:ilvl w:val="0"/>
          <w:numId w:val="2"/>
        </w:numPr>
        <w:spacing w:before="60" w:after="60"/>
      </w:pPr>
      <w:r>
        <w:rPr>
          <w:rFonts w:ascii="Arial" w:cs="Arial" w:eastAsia="Arial" w:hAnsi="Arial"/>
          <w:b/>
          <w:bCs/>
          <w:color w:val="1B3A5C"/>
          <w:sz w:val="22"/>
          <w:szCs w:val="22"/>
        </w:rPr>
        <w:t xml:space="preserve">Water intrusion detectors:</w:t>
      </w:r>
      <w:r>
        <w:rPr>
          <w:rFonts w:ascii="Arial" w:cs="Arial" w:eastAsia="Arial" w:hAnsi="Arial"/>
          <w:color w:val="2D2D2D"/>
          <w:sz w:val="22"/>
          <w:szCs w:val="22"/>
        </w:rPr>
        <w:t xml:space="preserve"> in below-grade excavations. Event-driven on trigger. 3,500 sensors total.</w:t>
      </w:r>
    </w:p>
    <w:p>
      <w:pPr>
        <w:spacing w:before="0" w:after="80"/>
      </w:pPr>
    </w:p>
    <w:p>
      <w:pPr>
        <w:pStyle w:val="Heading3"/>
        <w:spacing w:before="240" w:after="80"/>
      </w:pPr>
      <w:r>
        <w:rPr>
          <w:rFonts w:ascii="Arial" w:cs="Arial" w:eastAsia="Arial" w:hAnsi="Arial"/>
          <w:b/>
          <w:bCs/>
          <w:color w:val="1B3A5C"/>
          <w:sz w:val="22"/>
          <w:szCs w:val="22"/>
        </w:rPr>
        <w:t xml:space="preserve">Drone Survey System</w:t>
      </w:r>
    </w:p>
    <w:p>
      <w:pPr>
        <w:spacing w:before="80" w:after="100"/>
      </w:pPr>
      <w:r>
        <w:rPr>
          <w:rFonts w:ascii="Arial" w:cs="Arial" w:eastAsia="Arial" w:hAnsi="Arial"/>
          <w:color w:val="2D2D2D"/>
          <w:sz w:val="22"/>
          <w:szCs w:val="22"/>
        </w:rPr>
        <w:t xml:space="preserve">Each site receives 2–4 drone survey flights per day using a contracted drone service (DroneMap Pro). Drones produce:</w:t>
      </w:r>
    </w:p>
    <w:p>
      <w:pPr>
        <w:pStyle w:val="ListParagraph"/>
        <w:numPr>
          <w:ilvl w:val="0"/>
          <w:numId w:val="2"/>
        </w:numPr>
        <w:spacing w:before="60" w:after="60"/>
      </w:pPr>
      <w:r>
        <w:rPr>
          <w:rFonts w:ascii="Arial" w:cs="Arial" w:eastAsia="Arial" w:hAnsi="Arial"/>
          <w:color w:val="2D2D2D"/>
          <w:sz w:val="22"/>
          <w:szCs w:val="22"/>
        </w:rPr>
        <w:t xml:space="preserve">Photogrammetric 3D point clouds of site progress (LAS format, 2–8 GB per flight)</w:t>
      </w:r>
    </w:p>
    <w:p>
      <w:pPr>
        <w:pStyle w:val="ListParagraph"/>
        <w:numPr>
          <w:ilvl w:val="0"/>
          <w:numId w:val="2"/>
        </w:numPr>
        <w:spacing w:before="60" w:after="60"/>
      </w:pPr>
      <w:r>
        <w:rPr>
          <w:rFonts w:ascii="Arial" w:cs="Arial" w:eastAsia="Arial" w:hAnsi="Arial"/>
          <w:color w:val="2D2D2D"/>
          <w:sz w:val="22"/>
          <w:szCs w:val="22"/>
        </w:rPr>
        <w:t xml:space="preserve">RGB orthomosaic imagery (GeoTIFF, 400–900 MB per flight)</w:t>
      </w:r>
    </w:p>
    <w:p>
      <w:pPr>
        <w:pStyle w:val="ListParagraph"/>
        <w:numPr>
          <w:ilvl w:val="0"/>
          <w:numId w:val="2"/>
        </w:numPr>
        <w:spacing w:before="60" w:after="60"/>
      </w:pPr>
      <w:r>
        <w:rPr>
          <w:rFonts w:ascii="Arial" w:cs="Arial" w:eastAsia="Arial" w:hAnsi="Arial"/>
          <w:color w:val="2D2D2D"/>
          <w:sz w:val="22"/>
          <w:szCs w:val="22"/>
        </w:rPr>
        <w:t xml:space="preserve">Thermal imaging for detecting hot spots, water leaks, and curing concrete temperature profiles</w:t>
      </w:r>
    </w:p>
    <w:p>
      <w:pPr>
        <w:pStyle w:val="ListParagraph"/>
        <w:numPr>
          <w:ilvl w:val="0"/>
          <w:numId w:val="2"/>
        </w:numPr>
        <w:spacing w:before="60" w:after="60"/>
      </w:pPr>
      <w:r>
        <w:rPr>
          <w:rFonts w:ascii="Arial" w:cs="Arial" w:eastAsia="Arial" w:hAnsi="Arial"/>
          <w:color w:val="2D2D2D"/>
          <w:sz w:val="22"/>
          <w:szCs w:val="22"/>
        </w:rPr>
        <w:t xml:space="preserve">Delta reports comparing current scan against the BIM model (proprietary DroneMap JSON format)</w:t>
      </w:r>
    </w:p>
    <w:p>
      <w:pPr>
        <w:spacing w:before="0" w:after="80"/>
      </w:pPr>
    </w:p>
    <w:p>
      <w:pPr>
        <w:pStyle w:val="Heading3"/>
        <w:spacing w:before="240" w:after="80"/>
      </w:pPr>
      <w:r>
        <w:rPr>
          <w:rFonts w:ascii="Arial" w:cs="Arial" w:eastAsia="Arial" w:hAnsi="Arial"/>
          <w:b/>
          <w:bCs/>
          <w:color w:val="1B3A5C"/>
          <w:sz w:val="22"/>
          <w:szCs w:val="22"/>
        </w:rPr>
        <w:t xml:space="preserve">BIM (Building Information Model) Data</w:t>
      </w:r>
    </w:p>
    <w:p>
      <w:pPr>
        <w:spacing w:before="80" w:after="100"/>
      </w:pPr>
      <w:r>
        <w:rPr>
          <w:rFonts w:ascii="Arial" w:cs="Arial" w:eastAsia="Arial" w:hAnsi="Arial"/>
          <w:color w:val="2D2D2D"/>
          <w:sz w:val="22"/>
          <w:szCs w:val="22"/>
        </w:rPr>
        <w:t xml:space="preserve">Each project maintains a master BIM model managed by the project architect using Autodesk Revit or Bentley OpenBuildings. These models are the authoritative design reference for the digital twin. Characteristics:</w:t>
      </w:r>
    </w:p>
    <w:p>
      <w:pPr>
        <w:pStyle w:val="ListParagraph"/>
        <w:numPr>
          <w:ilvl w:val="0"/>
          <w:numId w:val="2"/>
        </w:numPr>
        <w:spacing w:before="60" w:after="60"/>
      </w:pPr>
      <w:r>
        <w:rPr>
          <w:rFonts w:ascii="Arial" w:cs="Arial" w:eastAsia="Arial" w:hAnsi="Arial"/>
          <w:color w:val="2D2D2D"/>
          <w:sz w:val="22"/>
          <w:szCs w:val="22"/>
        </w:rPr>
        <w:t xml:space="preserve">Full BIM files range from 18 GB to 120 GB per project</w:t>
      </w:r>
    </w:p>
    <w:p>
      <w:pPr>
        <w:pStyle w:val="ListParagraph"/>
        <w:numPr>
          <w:ilvl w:val="0"/>
          <w:numId w:val="2"/>
        </w:numPr>
        <w:spacing w:before="60" w:after="60"/>
      </w:pPr>
      <w:r>
        <w:rPr>
          <w:rFonts w:ascii="Arial" w:cs="Arial" w:eastAsia="Arial" w:hAnsi="Arial"/>
          <w:color w:val="2D2D2D"/>
          <w:sz w:val="22"/>
          <w:szCs w:val="22"/>
        </w:rPr>
        <w:t xml:space="preserve">Models are updated by the architect 2–5 times per week as design changes are approved</w:t>
      </w:r>
    </w:p>
    <w:p>
      <w:pPr>
        <w:pStyle w:val="ListParagraph"/>
        <w:numPr>
          <w:ilvl w:val="0"/>
          <w:numId w:val="2"/>
        </w:numPr>
        <w:spacing w:before="60" w:after="60"/>
      </w:pPr>
      <w:r>
        <w:rPr>
          <w:rFonts w:ascii="Arial" w:cs="Arial" w:eastAsia="Arial" w:hAnsi="Arial"/>
          <w:color w:val="2D2D2D"/>
          <w:sz w:val="22"/>
          <w:szCs w:val="22"/>
        </w:rPr>
        <w:t xml:space="preserve">Change sets (deltas) are available via the Autodesk BIM 360 API in IFC format</w:t>
      </w:r>
    </w:p>
    <w:p>
      <w:pPr>
        <w:pStyle w:val="ListParagraph"/>
        <w:numPr>
          <w:ilvl w:val="0"/>
          <w:numId w:val="2"/>
        </w:numPr>
        <w:spacing w:before="60" w:after="60"/>
      </w:pPr>
      <w:r>
        <w:rPr>
          <w:rFonts w:ascii="Arial" w:cs="Arial" w:eastAsia="Arial" w:hAnsi="Arial"/>
          <w:color w:val="2D2D2D"/>
          <w:sz w:val="22"/>
          <w:szCs w:val="22"/>
        </w:rPr>
        <w:t xml:space="preserve">The digital twin must reflect current approved design, not just as-built state</w:t>
      </w:r>
    </w:p>
    <w:p>
      <w:pPr>
        <w:spacing w:before="0" w:after="80"/>
      </w:pPr>
    </w:p>
    <w:p>
      <w:pPr>
        <w:pStyle w:val="Heading3"/>
        <w:spacing w:before="240" w:after="80"/>
      </w:pPr>
      <w:r>
        <w:rPr>
          <w:rFonts w:ascii="Arial" w:cs="Arial" w:eastAsia="Arial" w:hAnsi="Arial"/>
          <w:b/>
          <w:bCs/>
          <w:color w:val="1B3A5C"/>
          <w:sz w:val="22"/>
          <w:szCs w:val="22"/>
        </w:rPr>
        <w:t xml:space="preserve">Worker &amp; Equipment Telemetry</w:t>
      </w:r>
    </w:p>
    <w:p>
      <w:pPr>
        <w:spacing w:before="80" w:after="100"/>
      </w:pPr>
      <w:r>
        <w:rPr>
          <w:rFonts w:ascii="Arial" w:cs="Arial" w:eastAsia="Arial" w:hAnsi="Arial"/>
          <w:color w:val="2D2D2D"/>
          <w:sz w:val="22"/>
          <w:szCs w:val="22"/>
        </w:rPr>
        <w:t xml:space="preserve">All site workers and large equipment carry or embed real-time locators:</w:t>
      </w:r>
    </w:p>
    <w:p>
      <w:pPr>
        <w:pStyle w:val="ListParagraph"/>
        <w:numPr>
          <w:ilvl w:val="0"/>
          <w:numId w:val="2"/>
        </w:numPr>
        <w:spacing w:before="60" w:after="60"/>
      </w:pPr>
      <w:r>
        <w:rPr>
          <w:rFonts w:ascii="Arial" w:cs="Arial" w:eastAsia="Arial" w:hAnsi="Arial"/>
          <w:b/>
          <w:bCs/>
          <w:color w:val="1B3A5C"/>
          <w:sz w:val="22"/>
          <w:szCs w:val="22"/>
        </w:rPr>
        <w:t xml:space="preserve">Worker smart badges:</w:t>
      </w:r>
      <w:r>
        <w:rPr>
          <w:rFonts w:ascii="Arial" w:cs="Arial" w:eastAsia="Arial" w:hAnsi="Arial"/>
          <w:color w:val="2D2D2D"/>
          <w:sz w:val="22"/>
          <w:szCs w:val="22"/>
        </w:rPr>
        <w:t xml:space="preserve"> emit GPS + accelerometer data every 3 seconds. 340 sites × avg 450 workers = ~153,000 active badges during working hours.</w:t>
      </w:r>
    </w:p>
    <w:p>
      <w:pPr>
        <w:pStyle w:val="ListParagraph"/>
        <w:numPr>
          <w:ilvl w:val="0"/>
          <w:numId w:val="2"/>
        </w:numPr>
        <w:spacing w:before="60" w:after="60"/>
      </w:pPr>
      <w:r>
        <w:rPr>
          <w:rFonts w:ascii="Arial" w:cs="Arial" w:eastAsia="Arial" w:hAnsi="Arial"/>
          <w:b/>
          <w:bCs/>
          <w:color w:val="1B3A5C"/>
          <w:sz w:val="22"/>
          <w:szCs w:val="22"/>
        </w:rPr>
        <w:t xml:space="preserve">Crane telematics:</w:t>
      </w:r>
      <w:r>
        <w:rPr>
          <w:rFonts w:ascii="Arial" w:cs="Arial" w:eastAsia="Arial" w:hAnsi="Arial"/>
          <w:color w:val="2D2D2D"/>
          <w:sz w:val="22"/>
          <w:szCs w:val="22"/>
        </w:rPr>
        <w:t xml:space="preserve"> load cells, boom angle, rotation, operator ID, hook height. Emit every 1 second during operation. ~1,400 cranes across all sites.</w:t>
      </w:r>
    </w:p>
    <w:p>
      <w:pPr>
        <w:pStyle w:val="ListParagraph"/>
        <w:numPr>
          <w:ilvl w:val="0"/>
          <w:numId w:val="2"/>
        </w:numPr>
        <w:spacing w:before="60" w:after="60"/>
      </w:pPr>
      <w:r>
        <w:rPr>
          <w:rFonts w:ascii="Arial" w:cs="Arial" w:eastAsia="Arial" w:hAnsi="Arial"/>
          <w:b/>
          <w:bCs/>
          <w:color w:val="1B3A5C"/>
          <w:sz w:val="22"/>
          <w:szCs w:val="22"/>
        </w:rPr>
        <w:t xml:space="preserve">Heavy vehicle GPS + CAN bus:</w:t>
      </w:r>
      <w:r>
        <w:rPr>
          <w:rFonts w:ascii="Arial" w:cs="Arial" w:eastAsia="Arial" w:hAnsi="Arial"/>
          <w:color w:val="2D2D2D"/>
          <w:sz w:val="22"/>
          <w:szCs w:val="22"/>
        </w:rPr>
        <w:t xml:space="preserve"> position, speed, fuel level, engine diagnostics. 8,500 vehicles total. Emit every 5 seconds.</w:t>
      </w:r>
    </w:p>
    <w:p>
      <w:pPr>
        <w:pStyle w:val="ListParagraph"/>
        <w:numPr>
          <w:ilvl w:val="0"/>
          <w:numId w:val="2"/>
        </w:numPr>
        <w:spacing w:before="60" w:after="60"/>
      </w:pPr>
      <w:r>
        <w:rPr>
          <w:rFonts w:ascii="Arial" w:cs="Arial" w:eastAsia="Arial" w:hAnsi="Arial"/>
          <w:b/>
          <w:bCs/>
          <w:color w:val="1B3A5C"/>
          <w:sz w:val="22"/>
          <w:szCs w:val="22"/>
        </w:rPr>
        <w:t xml:space="preserve">Concrete pump telemetry:</w:t>
      </w:r>
      <w:r>
        <w:rPr>
          <w:rFonts w:ascii="Arial" w:cs="Arial" w:eastAsia="Arial" w:hAnsi="Arial"/>
          <w:color w:val="2D2D2D"/>
          <w:sz w:val="22"/>
          <w:szCs w:val="22"/>
        </w:rPr>
        <w:t xml:space="preserve"> pump rate, pressure, mix temperature, volume poured. 2,200 units. Emit per pour event.</w:t>
      </w:r>
    </w:p>
    <w:p>
      <w:pPr>
        <w:spacing w:before="0" w:after="80"/>
      </w:pPr>
    </w:p>
    <w:p>
      <w:pPr>
        <w:pStyle w:val="Heading3"/>
        <w:spacing w:before="240" w:after="80"/>
      </w:pPr>
      <w:r>
        <w:rPr>
          <w:rFonts w:ascii="Arial" w:cs="Arial" w:eastAsia="Arial" w:hAnsi="Arial"/>
          <w:b/>
          <w:bCs/>
          <w:color w:val="1B3A5C"/>
          <w:sz w:val="22"/>
          <w:szCs w:val="22"/>
        </w:rPr>
        <w:t xml:space="preserve">Inspection &amp; Compliance Reports</w:t>
      </w:r>
    </w:p>
    <w:p>
      <w:pPr>
        <w:spacing w:before="80" w:after="100"/>
      </w:pPr>
      <w:r>
        <w:rPr>
          <w:rFonts w:ascii="Arial" w:cs="Arial" w:eastAsia="Arial" w:hAnsi="Arial"/>
          <w:color w:val="2D2D2D"/>
          <w:sz w:val="22"/>
          <w:szCs w:val="22"/>
        </w:rPr>
        <w:t xml:space="preserve">Site inspectors submit structured reports via a mobile app (GlobalBuild Inspector, a React Native app with offline-first SQLite storage). Reports include:</w:t>
      </w:r>
    </w:p>
    <w:p>
      <w:pPr>
        <w:pStyle w:val="ListParagraph"/>
        <w:numPr>
          <w:ilvl w:val="0"/>
          <w:numId w:val="2"/>
        </w:numPr>
        <w:spacing w:before="60" w:after="60"/>
      </w:pPr>
      <w:r>
        <w:rPr>
          <w:rFonts w:ascii="Arial" w:cs="Arial" w:eastAsia="Arial" w:hAnsi="Arial"/>
          <w:color w:val="2D2D2D"/>
          <w:sz w:val="22"/>
          <w:szCs w:val="22"/>
        </w:rPr>
        <w:t xml:space="preserve">Daily safety walk reports (structured JSON, ~200 fields, submitted once per shift)</w:t>
      </w:r>
    </w:p>
    <w:p>
      <w:pPr>
        <w:pStyle w:val="ListParagraph"/>
        <w:numPr>
          <w:ilvl w:val="0"/>
          <w:numId w:val="2"/>
        </w:numPr>
        <w:spacing w:before="60" w:after="60"/>
      </w:pPr>
      <w:r>
        <w:rPr>
          <w:rFonts w:ascii="Arial" w:cs="Arial" w:eastAsia="Arial" w:hAnsi="Arial"/>
          <w:color w:val="2D2D2D"/>
          <w:sz w:val="22"/>
          <w:szCs w:val="22"/>
        </w:rPr>
        <w:t xml:space="preserve">Equipment inspection checklists (structured, submitted before and after equipment use)</w:t>
      </w:r>
    </w:p>
    <w:p>
      <w:pPr>
        <w:pStyle w:val="ListParagraph"/>
        <w:numPr>
          <w:ilvl w:val="0"/>
          <w:numId w:val="2"/>
        </w:numPr>
        <w:spacing w:before="60" w:after="60"/>
      </w:pPr>
      <w:r>
        <w:rPr>
          <w:rFonts w:ascii="Arial" w:cs="Arial" w:eastAsia="Arial" w:hAnsi="Arial"/>
          <w:color w:val="2D2D2D"/>
          <w:sz w:val="22"/>
          <w:szCs w:val="22"/>
        </w:rPr>
        <w:t xml:space="preserve">Non-conformance reports (NCRs) with photos attached, triggered ad-hoc</w:t>
      </w:r>
    </w:p>
    <w:p>
      <w:pPr>
        <w:pStyle w:val="ListParagraph"/>
        <w:numPr>
          <w:ilvl w:val="0"/>
          <w:numId w:val="2"/>
        </w:numPr>
        <w:spacing w:before="60" w:after="60"/>
      </w:pPr>
      <w:r>
        <w:rPr>
          <w:rFonts w:ascii="Arial" w:cs="Arial" w:eastAsia="Arial" w:hAnsi="Arial"/>
          <w:color w:val="2D2D2D"/>
          <w:sz w:val="22"/>
          <w:szCs w:val="22"/>
        </w:rPr>
        <w:t xml:space="preserve">Regulatory permit status updates (manual, submitted by site safety officer)</w:t>
      </w:r>
    </w:p>
    <w:p>
      <w:pPr>
        <w:spacing w:before="0" w:after="80"/>
      </w:pPr>
    </w:p>
    <w:p>
      <w:pPr>
        <w:pStyle w:val="Heading3"/>
        <w:spacing w:before="240" w:after="80"/>
      </w:pPr>
      <w:r>
        <w:rPr>
          <w:rFonts w:ascii="Arial" w:cs="Arial" w:eastAsia="Arial" w:hAnsi="Arial"/>
          <w:b/>
          <w:bCs/>
          <w:color w:val="1B3A5C"/>
          <w:sz w:val="22"/>
          <w:szCs w:val="22"/>
        </w:rPr>
        <w:t xml:space="preserve">External Data Feeds</w:t>
      </w:r>
    </w:p>
    <w:p>
      <w:pPr>
        <w:pStyle w:val="ListParagraph"/>
        <w:numPr>
          <w:ilvl w:val="0"/>
          <w:numId w:val="2"/>
        </w:numPr>
        <w:spacing w:before="60" w:after="60"/>
      </w:pPr>
      <w:r>
        <w:rPr>
          <w:rFonts w:ascii="Arial" w:cs="Arial" w:eastAsia="Arial" w:hAnsi="Arial"/>
          <w:color w:val="2D2D2D"/>
          <w:sz w:val="22"/>
          <w:szCs w:val="22"/>
        </w:rPr>
        <w:t xml:space="preserve">Weather service API (WindyAPI): hourly forecasts and live conditions per GPS coordinate</w:t>
      </w:r>
    </w:p>
    <w:p>
      <w:pPr>
        <w:pStyle w:val="ListParagraph"/>
        <w:numPr>
          <w:ilvl w:val="0"/>
          <w:numId w:val="2"/>
        </w:numPr>
        <w:spacing w:before="60" w:after="60"/>
      </w:pPr>
      <w:r>
        <w:rPr>
          <w:rFonts w:ascii="Arial" w:cs="Arial" w:eastAsia="Arial" w:hAnsi="Arial"/>
          <w:color w:val="2D2D2D"/>
          <w:sz w:val="22"/>
          <w:szCs w:val="22"/>
        </w:rPr>
        <w:t xml:space="preserve">Material delivery manifests: inbound logistics schedule from ERP system (SAP integration via REST API)</w:t>
      </w:r>
    </w:p>
    <w:p>
      <w:pPr>
        <w:pStyle w:val="ListParagraph"/>
        <w:numPr>
          <w:ilvl w:val="0"/>
          <w:numId w:val="2"/>
        </w:numPr>
        <w:spacing w:before="60" w:after="60"/>
      </w:pPr>
      <w:r>
        <w:rPr>
          <w:rFonts w:ascii="Arial" w:cs="Arial" w:eastAsia="Arial" w:hAnsi="Arial"/>
          <w:color w:val="2D2D2D"/>
          <w:sz w:val="22"/>
          <w:szCs w:val="22"/>
        </w:rPr>
        <w:t xml:space="preserve">Commodity price index feeds: steel, concrete, lumber prices (used for cost forecasting)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855" w:sz="12"/>
              <w:left w:val="single" w:color="E84855" w:sz="12"/>
              <w:bottom w:val="single" w:color="CCCCCC" w:sz="1"/>
              <w:right w:val="single" w:color="CCCCCC" w:sz="1"/>
            </w:tcBorders>
            <w:shd w:fill="EBF4F8" w:val="clear"/>
            <w:tcMar>
              <w:top w:type="dxa" w:w="120"/>
              <w:left w:type="dxa" w:w="200"/>
              <w:bottom w:type="dxa" w:w="120"/>
              <w:right w:type="dxa" w:w="200"/>
            </w:tcMar>
          </w:tcPr>
          <w:p>
            <w:pPr>
              <w:spacing w:before="60" w:after="80"/>
            </w:pPr>
            <w:r>
              <w:rPr>
                <w:rFonts w:ascii="Arial" w:cs="Arial" w:eastAsia="Arial" w:hAnsi="Arial"/>
                <w:b/>
                <w:bCs/>
                <w:color w:val="E84855"/>
                <w:sz w:val="22"/>
                <w:szCs w:val="22"/>
              </w:rPr>
              <w:t xml:space="preserve">Integration Reality Check</w:t>
            </w:r>
          </w:p>
          <w:p>
            <w:pPr>
              <w:spacing w:before="40" w:after="40"/>
            </w:pPr>
            <w:r>
              <w:rPr>
                <w:rFonts w:ascii="Arial" w:cs="Arial" w:eastAsia="Arial" w:hAnsi="Arial"/>
                <w:color w:val="2D2D2D"/>
                <w:sz w:val="21"/>
                <w:szCs w:val="21"/>
              </w:rPr>
              <w:t xml:space="preserve">DroneMap Pro API has a 98.2% uptime SLA with documented rate limits of 10 concurrent uploads.</w:t>
            </w:r>
          </w:p>
          <w:p>
            <w:pPr>
              <w:spacing w:before="40" w:after="40"/>
            </w:pPr>
            <w:r>
              <w:rPr>
                <w:rFonts w:ascii="Arial" w:cs="Arial" w:eastAsia="Arial" w:hAnsi="Arial"/>
                <w:color w:val="2D2D2D"/>
                <w:sz w:val="21"/>
                <w:szCs w:val="21"/>
              </w:rPr>
              <w:t xml:space="preserve">The SAP ERP integration uses a legacy SOAP/XML interface with no formal schema versioning.</w:t>
            </w:r>
          </w:p>
          <w:p>
            <w:pPr>
              <w:spacing w:before="40" w:after="40"/>
            </w:pPr>
            <w:r>
              <w:rPr>
                <w:rFonts w:ascii="Arial" w:cs="Arial" w:eastAsia="Arial" w:hAnsi="Arial"/>
                <w:color w:val="2D2D2D"/>
                <w:sz w:val="21"/>
                <w:szCs w:val="21"/>
              </w:rPr>
              <w:t xml:space="preserve">Different sites use different sensor hardware vendors; telemetry formats are not standardized.</w:t>
            </w:r>
          </w:p>
          <w:p>
            <w:pPr>
              <w:spacing w:before="40" w:after="40"/>
            </w:pPr>
            <w:r>
              <w:rPr>
                <w:rFonts w:ascii="Arial" w:cs="Arial" w:eastAsia="Arial" w:hAnsi="Arial"/>
                <w:color w:val="2D2D2D"/>
                <w:sz w:val="21"/>
                <w:szCs w:val="21"/>
              </w:rPr>
              <w:t xml:space="preserve">BIM 360 API enforces strict OAuth 2.0 token lifetimes with 30-minute refresh windows.</w:t>
            </w:r>
          </w:p>
          <w:p>
            <w:pPr>
              <w:spacing w:before="40" w:after="40"/>
            </w:pPr>
            <w:r>
              <w:rPr>
                <w:rFonts w:ascii="Arial" w:cs="Arial" w:eastAsia="Arial" w:hAnsi="Arial"/>
                <w:color w:val="2D2D2D"/>
                <w:sz w:val="21"/>
                <w:szCs w:val="21"/>
              </w:rPr>
              <w:t xml:space="preserve">Worker badge firmware versions vary; approximately 12% of the fleet runs outdated firmware that drops GPS altitude data.</w:t>
            </w:r>
          </w:p>
        </w:tc>
      </w:tr>
    </w:tbl>
    <w:p>
      <w:pPr>
        <w:spacing w:before="0" w:after="160"/>
      </w:pPr>
    </w:p>
    <w:p>
      <w:r>
        <w:br w:type="page"/>
      </w:r>
    </w:p>
    <w:p>
      <w:pPr>
        <w:spacing w:before="360" w:after="80"/>
      </w:pPr>
      <w:r>
        <w:rPr>
          <w:rFonts w:ascii="Arial" w:cs="Arial" w:eastAsia="Arial" w:hAnsi="Arial"/>
          <w:b/>
          <w:bCs/>
          <w:color w:val="2E86AB"/>
          <w:spacing w:val="40"/>
          <w:sz w:val="18"/>
          <w:szCs w:val="18"/>
        </w:rPr>
        <w:t xml:space="preserve">SECTION 3</w:t>
      </w:r>
    </w:p>
    <w:p>
      <w:pPr>
        <w:pStyle w:val="Heading1"/>
        <w:spacing w:before="480" w:after="160"/>
      </w:pPr>
      <w:r>
        <w:rPr>
          <w:rFonts w:ascii="Arial" w:cs="Arial" w:eastAsia="Arial" w:hAnsi="Arial"/>
          <w:b/>
          <w:bCs/>
          <w:color w:val="1B3A5C"/>
          <w:sz w:val="36"/>
          <w:szCs w:val="36"/>
        </w:rPr>
        <w:t xml:space="preserve">Functional Requirements</w:t>
      </w:r>
    </w:p>
    <w:p>
      <w:pPr>
        <w:pBdr>
          <w:bottom w:val="single" w:color="2E86AB" w:sz="8" w:space="1"/>
        </w:pBdr>
        <w:spacing w:before="0" w:after="120"/>
      </w:pPr>
    </w:p>
    <w:p>
      <w:pPr>
        <w:spacing w:before="0" w:after="80"/>
      </w:pPr>
    </w:p>
    <w:p>
      <w:pPr>
        <w:pStyle w:val="Heading2"/>
        <w:spacing w:before="320" w:after="120"/>
      </w:pPr>
      <w:r>
        <w:rPr>
          <w:rFonts w:ascii="Arial" w:cs="Arial" w:eastAsia="Arial" w:hAnsi="Arial"/>
          <w:b/>
          <w:bCs/>
          <w:color w:val="2E86AB"/>
          <w:sz w:val="26"/>
          <w:szCs w:val="26"/>
        </w:rPr>
        <w:t xml:space="preserve">FR-1: Real-Time Digital Twin Synchronization</w:t>
      </w:r>
    </w:p>
    <w:p>
      <w:pPr>
        <w:spacing w:before="80" w:after="100"/>
      </w:pPr>
      <w:r>
        <w:rPr>
          <w:rFonts w:ascii="Arial" w:cs="Arial" w:eastAsia="Arial" w:hAnsi="Arial"/>
          <w:color w:val="2D2D2D"/>
          <w:sz w:val="22"/>
          <w:szCs w:val="22"/>
        </w:rPr>
        <w:t xml:space="preserve">The system must maintain a continuously-updated virtual representation of each site that reflects physical reality as closely as possible given data latency constraints. The twin must be queryable by downstream systems in real time.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 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FR-1.1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Ingest all IoT sensor streams and reflect updated values in the site twin model within 2 seconds of emission.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FR-1.2</w:t>
            </w:r>
          </w:p>
        </w:tc>
        <w:tc>
          <w:tcPr>
            <w:tcW w:type="dxa" w:w="60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Apply incoming drone survey delta reports to update the spatial representation of the site twin within 15 minutes of flight completion.</w:t>
            </w:r>
          </w:p>
        </w:tc>
        <w:tc>
          <w:tcPr>
            <w:tcW w:type="dxa" w:w="15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FR-1.3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Apply BIM change sets to the digital twin within 30 minutes of architect approval in BIM 360.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FR-1.4</w:t>
            </w:r>
          </w:p>
        </w:tc>
        <w:tc>
          <w:tcPr>
            <w:tcW w:type="dxa" w:w="60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Worker and equipment positions must be reflected in the twin with no more than 5 seconds staleness during working hours.</w:t>
            </w:r>
          </w:p>
        </w:tc>
        <w:tc>
          <w:tcPr>
            <w:tcW w:type="dxa" w:w="15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FR-1.5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The twin must expose a query API allowing external systems to fetch the full or partial site state as-of any point in the past 90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Should Have</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FR-1.6</w:t>
            </w:r>
          </w:p>
        </w:tc>
        <w:tc>
          <w:tcPr>
            <w:tcW w:type="dxa" w:w="60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Changes to the twin state must be logged in an immutable, append-only audit ledger.</w:t>
            </w:r>
          </w:p>
        </w:tc>
        <w:tc>
          <w:tcPr>
            <w:tcW w:type="dxa" w:w="15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Must Have</w:t>
            </w:r>
          </w:p>
        </w:tc>
      </w:tr>
    </w:tbl>
    <w:p>
      <w:pPr>
        <w:spacing w:before="0" w:after="160"/>
      </w:pPr>
    </w:p>
    <w:p>
      <w:pPr>
        <w:pStyle w:val="Heading2"/>
        <w:spacing w:before="320" w:after="120"/>
      </w:pPr>
      <w:r>
        <w:rPr>
          <w:rFonts w:ascii="Arial" w:cs="Arial" w:eastAsia="Arial" w:hAnsi="Arial"/>
          <w:b/>
          <w:bCs/>
          <w:color w:val="2E86AB"/>
          <w:sz w:val="26"/>
          <w:szCs w:val="26"/>
        </w:rPr>
        <w:t xml:space="preserve">FR-2: Safety Alerting &amp; Incident Detection</w:t>
      </w:r>
    </w:p>
    <w:p>
      <w:pPr>
        <w:spacing w:before="80" w:after="100"/>
      </w:pPr>
      <w:r>
        <w:rPr>
          <w:rFonts w:ascii="Arial" w:cs="Arial" w:eastAsia="Arial" w:hAnsi="Arial"/>
          <w:color w:val="2D2D2D"/>
          <w:sz w:val="22"/>
          <w:szCs w:val="22"/>
        </w:rPr>
        <w:t xml:space="preserve">SiteOS must detect potentially dangerous conditions automatically and escalate alerts to the appropriate responsible parties with guaranteed delivery within defined time windows.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 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FR-2.1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Detect worker entry into geofenced exclusion zones (e.g., crane swing radius, live concrete pour zones) and trigger an alert within 10 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FR-2.2</w:t>
            </w:r>
          </w:p>
        </w:tc>
        <w:tc>
          <w:tcPr>
            <w:tcW w:type="dxa" w:w="60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Detect structural strain gauge readings that exceed defined safety thresholds and alert the site structural engineer within 8 seconds.</w:t>
            </w:r>
          </w:p>
        </w:tc>
        <w:tc>
          <w:tcPr>
            <w:tcW w:type="dxa" w:w="15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FR-2.3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Detect worker fall events via accelerometer signature and dispatch emergency protocol within 15 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FR-2.4</w:t>
            </w:r>
          </w:p>
        </w:tc>
        <w:tc>
          <w:tcPr>
            <w:tcW w:type="dxa" w:w="60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Alert site managers when air quality sensors exceed regulatory thresholds (CO, NOx, silica dust) within 20 seconds.</w:t>
            </w:r>
          </w:p>
        </w:tc>
        <w:tc>
          <w:tcPr>
            <w:tcW w:type="dxa" w:w="15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FR-2.5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Generate a 'near-miss' report when a worker's trajectory brings them within 2 meters of an exclusion zone without entry, for retrospective safety 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Should Have</w:t>
            </w:r>
          </w:p>
        </w:tc>
      </w:tr>
      <w:tr>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FR-2.6</w:t>
            </w:r>
          </w:p>
        </w:tc>
        <w:tc>
          <w:tcPr>
            <w:tcW w:type="dxa" w:w="60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Alerts must be delivered even if the site's primary internet uplink is degraded. A fallback delivery mechanism (e.g., SMS gateway) is required for safety-critical alerts.</w:t>
            </w:r>
          </w:p>
        </w:tc>
        <w:tc>
          <w:tcPr>
            <w:tcW w:type="dxa" w:w="15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Must Have</w:t>
            </w:r>
          </w:p>
        </w:tc>
      </w:tr>
    </w:tbl>
    <w:p>
      <w:pPr>
        <w:spacing w:before="0" w:after="160"/>
      </w:pPr>
    </w:p>
    <w:p>
      <w:pPr>
        <w:pStyle w:val="Heading2"/>
        <w:spacing w:before="320" w:after="120"/>
      </w:pPr>
      <w:r>
        <w:rPr>
          <w:rFonts w:ascii="Arial" w:cs="Arial" w:eastAsia="Arial" w:hAnsi="Arial"/>
          <w:b/>
          <w:bCs/>
          <w:color w:val="2E86AB"/>
          <w:sz w:val="26"/>
          <w:szCs w:val="26"/>
        </w:rPr>
        <w:t xml:space="preserve">FR-3: 3D Visualization Interface</w:t>
      </w:r>
    </w:p>
    <w:p>
      <w:pPr>
        <w:spacing w:before="80" w:after="100"/>
      </w:pPr>
      <w:r>
        <w:rPr>
          <w:rFonts w:ascii="Arial" w:cs="Arial" w:eastAsia="Arial" w:hAnsi="Arial"/>
          <w:color w:val="2D2D2D"/>
          <w:sz w:val="22"/>
          <w:szCs w:val="22"/>
        </w:rPr>
        <w:t xml:space="preserve">Site managers and project directors must be able to view the current site state through an interactive 3D visualization that layers digital twin data over the BIM model.</w:t>
      </w:r>
    </w:p>
    <w:p>
      <w:pPr>
        <w:spacing w:before="0" w:after="80"/>
      </w:pPr>
    </w:p>
    <w:p>
      <w:pPr>
        <w:pStyle w:val="ListParagraph"/>
        <w:numPr>
          <w:ilvl w:val="0"/>
          <w:numId w:val="2"/>
        </w:numPr>
        <w:spacing w:before="60" w:after="60"/>
      </w:pPr>
      <w:r>
        <w:rPr>
          <w:rFonts w:ascii="Arial" w:cs="Arial" w:eastAsia="Arial" w:hAnsi="Arial"/>
          <w:b/>
          <w:bCs/>
          <w:color w:val="1B3A5C"/>
          <w:sz w:val="22"/>
          <w:szCs w:val="22"/>
        </w:rPr>
        <w:t xml:space="preserve">FR-3.1:</w:t>
      </w:r>
      <w:r>
        <w:rPr>
          <w:rFonts w:ascii="Arial" w:cs="Arial" w:eastAsia="Arial" w:hAnsi="Arial"/>
          <w:color w:val="2D2D2D"/>
          <w:sz w:val="22"/>
          <w:szCs w:val="22"/>
        </w:rPr>
        <w:t xml:space="preserve"> Web-based 3D viewer (no plugin required) rendering the BIM model overlaid with live worker positions, equipment locations, and sensor heat maps.</w:t>
      </w:r>
    </w:p>
    <w:p>
      <w:pPr>
        <w:pStyle w:val="ListParagraph"/>
        <w:numPr>
          <w:ilvl w:val="0"/>
          <w:numId w:val="2"/>
        </w:numPr>
        <w:spacing w:before="60" w:after="60"/>
      </w:pPr>
      <w:r>
        <w:rPr>
          <w:rFonts w:ascii="Arial" w:cs="Arial" w:eastAsia="Arial" w:hAnsi="Arial"/>
          <w:b/>
          <w:bCs/>
          <w:color w:val="1B3A5C"/>
          <w:sz w:val="22"/>
          <w:szCs w:val="22"/>
        </w:rPr>
        <w:t xml:space="preserve">FR-3.2:</w:t>
      </w:r>
      <w:r>
        <w:rPr>
          <w:rFonts w:ascii="Arial" w:cs="Arial" w:eastAsia="Arial" w:hAnsi="Arial"/>
          <w:color w:val="2D2D2D"/>
          <w:sz w:val="22"/>
          <w:szCs w:val="22"/>
        </w:rPr>
        <w:t xml:space="preserve"> Time-slider allowing the user to replay site state from any point in the past 90 days at configurable playback speed.</w:t>
      </w:r>
    </w:p>
    <w:p>
      <w:pPr>
        <w:pStyle w:val="ListParagraph"/>
        <w:numPr>
          <w:ilvl w:val="0"/>
          <w:numId w:val="2"/>
        </w:numPr>
        <w:spacing w:before="60" w:after="60"/>
      </w:pPr>
      <w:r>
        <w:rPr>
          <w:rFonts w:ascii="Arial" w:cs="Arial" w:eastAsia="Arial" w:hAnsi="Arial"/>
          <w:b/>
          <w:bCs/>
          <w:color w:val="1B3A5C"/>
          <w:sz w:val="22"/>
          <w:szCs w:val="22"/>
        </w:rPr>
        <w:t xml:space="preserve">FR-3.3:</w:t>
      </w:r>
      <w:r>
        <w:rPr>
          <w:rFonts w:ascii="Arial" w:cs="Arial" w:eastAsia="Arial" w:hAnsi="Arial"/>
          <w:color w:val="2D2D2D"/>
          <w:sz w:val="22"/>
          <w:szCs w:val="22"/>
        </w:rPr>
        <w:t xml:space="preserve"> Layer controls to toggle visibility of worker positions, equipment, sensor overlays, drone survey progress, and safety alerts.</w:t>
      </w:r>
    </w:p>
    <w:p>
      <w:pPr>
        <w:pStyle w:val="ListParagraph"/>
        <w:numPr>
          <w:ilvl w:val="0"/>
          <w:numId w:val="2"/>
        </w:numPr>
        <w:spacing w:before="60" w:after="60"/>
      </w:pPr>
      <w:r>
        <w:rPr>
          <w:rFonts w:ascii="Arial" w:cs="Arial" w:eastAsia="Arial" w:hAnsi="Arial"/>
          <w:b/>
          <w:bCs/>
          <w:color w:val="1B3A5C"/>
          <w:sz w:val="22"/>
          <w:szCs w:val="22"/>
        </w:rPr>
        <w:t xml:space="preserve">FR-3.4:</w:t>
      </w:r>
      <w:r>
        <w:rPr>
          <w:rFonts w:ascii="Arial" w:cs="Arial" w:eastAsia="Arial" w:hAnsi="Arial"/>
          <w:color w:val="2D2D2D"/>
          <w:sz w:val="22"/>
          <w:szCs w:val="22"/>
        </w:rPr>
        <w:t xml:space="preserve"> Click-through to detail cards: clicking a worker badge shows their name, role, certifications, and last 30 minutes of movement trail.</w:t>
      </w:r>
    </w:p>
    <w:p>
      <w:pPr>
        <w:pStyle w:val="ListParagraph"/>
        <w:numPr>
          <w:ilvl w:val="0"/>
          <w:numId w:val="2"/>
        </w:numPr>
        <w:spacing w:before="60" w:after="60"/>
      </w:pPr>
      <w:r>
        <w:rPr>
          <w:rFonts w:ascii="Arial" w:cs="Arial" w:eastAsia="Arial" w:hAnsi="Arial"/>
          <w:b/>
          <w:bCs/>
          <w:color w:val="1B3A5C"/>
          <w:sz w:val="22"/>
          <w:szCs w:val="22"/>
        </w:rPr>
        <w:t xml:space="preserve">FR-3.5:</w:t>
      </w:r>
      <w:r>
        <w:rPr>
          <w:rFonts w:ascii="Arial" w:cs="Arial" w:eastAsia="Arial" w:hAnsi="Arial"/>
          <w:color w:val="2D2D2D"/>
          <w:sz w:val="22"/>
          <w:szCs w:val="22"/>
        </w:rPr>
        <w:t xml:space="preserve"> Clicking an active safety alert highlights the affected zone and shows the alert timeline, sensor readings, and response status.</w:t>
      </w:r>
    </w:p>
    <w:p>
      <w:pPr>
        <w:pStyle w:val="ListParagraph"/>
        <w:numPr>
          <w:ilvl w:val="0"/>
          <w:numId w:val="2"/>
        </w:numPr>
        <w:spacing w:before="60" w:after="60"/>
      </w:pPr>
      <w:r>
        <w:rPr>
          <w:rFonts w:ascii="Arial" w:cs="Arial" w:eastAsia="Arial" w:hAnsi="Arial"/>
          <w:b/>
          <w:bCs/>
          <w:color w:val="1B3A5C"/>
          <w:sz w:val="22"/>
          <w:szCs w:val="22"/>
        </w:rPr>
        <w:t xml:space="preserve">FR-3.6:</w:t>
      </w:r>
      <w:r>
        <w:rPr>
          <w:rFonts w:ascii="Arial" w:cs="Arial" w:eastAsia="Arial" w:hAnsi="Arial"/>
          <w:color w:val="2D2D2D"/>
          <w:sz w:val="22"/>
          <w:szCs w:val="22"/>
        </w:rPr>
        <w:t xml:space="preserve"> Mobile-responsive version for site safety officers to use on tablet while on-site (lower fidelity acceptable, core safety data required).</w:t>
      </w:r>
    </w:p>
    <w:p>
      <w:pPr>
        <w:spacing w:before="0" w:after="160"/>
      </w:pPr>
    </w:p>
    <w:p>
      <w:pPr>
        <w:pStyle w:val="Heading2"/>
        <w:spacing w:before="320" w:after="120"/>
      </w:pPr>
      <w:r>
        <w:rPr>
          <w:rFonts w:ascii="Arial" w:cs="Arial" w:eastAsia="Arial" w:hAnsi="Arial"/>
          <w:b/>
          <w:bCs/>
          <w:color w:val="2E86AB"/>
          <w:sz w:val="26"/>
          <w:szCs w:val="26"/>
        </w:rPr>
        <w:t xml:space="preserve">FR-4: Cross-Site Analytics &amp; Reporting</w:t>
      </w:r>
    </w:p>
    <w:p>
      <w:pPr>
        <w:pStyle w:val="ListParagraph"/>
        <w:numPr>
          <w:ilvl w:val="0"/>
          <w:numId w:val="2"/>
        </w:numPr>
        <w:spacing w:before="60" w:after="60"/>
      </w:pPr>
      <w:r>
        <w:rPr>
          <w:rFonts w:ascii="Arial" w:cs="Arial" w:eastAsia="Arial" w:hAnsi="Arial"/>
          <w:b/>
          <w:bCs/>
          <w:color w:val="1B3A5C"/>
          <w:sz w:val="22"/>
          <w:szCs w:val="22"/>
        </w:rPr>
        <w:t xml:space="preserve">FR-4.1:</w:t>
      </w:r>
      <w:r>
        <w:rPr>
          <w:rFonts w:ascii="Arial" w:cs="Arial" w:eastAsia="Arial" w:hAnsi="Arial"/>
          <w:color w:val="2D2D2D"/>
          <w:sz w:val="22"/>
          <w:szCs w:val="22"/>
        </w:rPr>
        <w:t xml:space="preserve"> Executive dashboard aggregating KPIs across all 340 active sites: safety incident counts, equipment utilization, schedule variance, open NCRs.</w:t>
      </w:r>
    </w:p>
    <w:p>
      <w:pPr>
        <w:pStyle w:val="ListParagraph"/>
        <w:numPr>
          <w:ilvl w:val="0"/>
          <w:numId w:val="2"/>
        </w:numPr>
        <w:spacing w:before="60" w:after="60"/>
      </w:pPr>
      <w:r>
        <w:rPr>
          <w:rFonts w:ascii="Arial" w:cs="Arial" w:eastAsia="Arial" w:hAnsi="Arial"/>
          <w:b/>
          <w:bCs/>
          <w:color w:val="1B3A5C"/>
          <w:sz w:val="22"/>
          <w:szCs w:val="22"/>
        </w:rPr>
        <w:t xml:space="preserve">FR-4.2:</w:t>
      </w:r>
      <w:r>
        <w:rPr>
          <w:rFonts w:ascii="Arial" w:cs="Arial" w:eastAsia="Arial" w:hAnsi="Arial"/>
          <w:color w:val="2D2D2D"/>
          <w:sz w:val="22"/>
          <w:szCs w:val="22"/>
        </w:rPr>
        <w:t xml:space="preserve"> Automated daily site summary report delivered to site managers each morning, eliminating manual report preparation.</w:t>
      </w:r>
    </w:p>
    <w:p>
      <w:pPr>
        <w:pStyle w:val="ListParagraph"/>
        <w:numPr>
          <w:ilvl w:val="0"/>
          <w:numId w:val="2"/>
        </w:numPr>
        <w:spacing w:before="60" w:after="60"/>
      </w:pPr>
      <w:r>
        <w:rPr>
          <w:rFonts w:ascii="Arial" w:cs="Arial" w:eastAsia="Arial" w:hAnsi="Arial"/>
          <w:b/>
          <w:bCs/>
          <w:color w:val="1B3A5C"/>
          <w:sz w:val="22"/>
          <w:szCs w:val="22"/>
        </w:rPr>
        <w:t xml:space="preserve">FR-4.3:</w:t>
      </w:r>
      <w:r>
        <w:rPr>
          <w:rFonts w:ascii="Arial" w:cs="Arial" w:eastAsia="Arial" w:hAnsi="Arial"/>
          <w:color w:val="2D2D2D"/>
          <w:sz w:val="22"/>
          <w:szCs w:val="22"/>
        </w:rPr>
        <w:t xml:space="preserve"> Anomaly detection engine comparing current site performance against historical baselines, flagging deviations for project director review.</w:t>
      </w:r>
    </w:p>
    <w:p>
      <w:pPr>
        <w:pStyle w:val="ListParagraph"/>
        <w:numPr>
          <w:ilvl w:val="0"/>
          <w:numId w:val="2"/>
        </w:numPr>
        <w:spacing w:before="60" w:after="60"/>
      </w:pPr>
      <w:r>
        <w:rPr>
          <w:rFonts w:ascii="Arial" w:cs="Arial" w:eastAsia="Arial" w:hAnsi="Arial"/>
          <w:b/>
          <w:bCs/>
          <w:color w:val="1B3A5C"/>
          <w:sz w:val="22"/>
          <w:szCs w:val="22"/>
        </w:rPr>
        <w:t xml:space="preserve">FR-4.4:</w:t>
      </w:r>
      <w:r>
        <w:rPr>
          <w:rFonts w:ascii="Arial" w:cs="Arial" w:eastAsia="Arial" w:hAnsi="Arial"/>
          <w:color w:val="2D2D2D"/>
          <w:sz w:val="22"/>
          <w:szCs w:val="22"/>
        </w:rPr>
        <w:t xml:space="preserve"> Cross-site pattern detection: identify when a problem type (e.g., a specific crane fault pattern) appearing on multiple sites indicates a systemic issue.</w:t>
      </w:r>
    </w:p>
    <w:p>
      <w:pPr>
        <w:pStyle w:val="ListParagraph"/>
        <w:numPr>
          <w:ilvl w:val="0"/>
          <w:numId w:val="2"/>
        </w:numPr>
        <w:spacing w:before="60" w:after="60"/>
      </w:pPr>
      <w:r>
        <w:rPr>
          <w:rFonts w:ascii="Arial" w:cs="Arial" w:eastAsia="Arial" w:hAnsi="Arial"/>
          <w:b/>
          <w:bCs/>
          <w:color w:val="1B3A5C"/>
          <w:sz w:val="22"/>
          <w:szCs w:val="22"/>
        </w:rPr>
        <w:t xml:space="preserve">FR-4.5:</w:t>
      </w:r>
      <w:r>
        <w:rPr>
          <w:rFonts w:ascii="Arial" w:cs="Arial" w:eastAsia="Arial" w:hAnsi="Arial"/>
          <w:color w:val="2D2D2D"/>
          <w:sz w:val="22"/>
          <w:szCs w:val="22"/>
        </w:rPr>
        <w:t xml:space="preserve"> Client portal: read-only view of project progress for GlobalBuild clients (subset of site data, no worker PII).</w:t>
      </w:r>
    </w:p>
    <w:p>
      <w:pPr>
        <w:spacing w:before="0" w:after="160"/>
      </w:pPr>
    </w:p>
    <w:p>
      <w:r>
        <w:br w:type="page"/>
      </w:r>
    </w:p>
    <w:p>
      <w:pPr>
        <w:spacing w:before="360" w:after="80"/>
      </w:pPr>
      <w:r>
        <w:rPr>
          <w:rFonts w:ascii="Arial" w:cs="Arial" w:eastAsia="Arial" w:hAnsi="Arial"/>
          <w:b/>
          <w:bCs/>
          <w:color w:val="2E86AB"/>
          <w:spacing w:val="40"/>
          <w:sz w:val="18"/>
          <w:szCs w:val="18"/>
        </w:rPr>
        <w:t xml:space="preserve">SECTION 4</w:t>
      </w:r>
    </w:p>
    <w:p>
      <w:pPr>
        <w:pStyle w:val="Heading1"/>
        <w:spacing w:before="480" w:after="160"/>
      </w:pPr>
      <w:r>
        <w:rPr>
          <w:rFonts w:ascii="Arial" w:cs="Arial" w:eastAsia="Arial" w:hAnsi="Arial"/>
          <w:b/>
          <w:bCs/>
          <w:color w:val="1B3A5C"/>
          <w:sz w:val="36"/>
          <w:szCs w:val="36"/>
        </w:rPr>
        <w:t xml:space="preserve">Non-Functional Requirements &amp; Constraints</w:t>
      </w:r>
    </w:p>
    <w:p>
      <w:pPr>
        <w:pBdr>
          <w:bottom w:val="single" w:color="2E86AB" w:sz="8" w:space="1"/>
        </w:pBdr>
        <w:spacing w:before="0" w:after="120"/>
      </w:pPr>
    </w:p>
    <w:p>
      <w:pPr>
        <w:spacing w:before="0" w:after="80"/>
      </w:pPr>
    </w:p>
    <w:p>
      <w:pPr>
        <w:pStyle w:val="Heading2"/>
        <w:spacing w:before="320" w:after="120"/>
      </w:pPr>
      <w:r>
        <w:rPr>
          <w:rFonts w:ascii="Arial" w:cs="Arial" w:eastAsia="Arial" w:hAnsi="Arial"/>
          <w:b/>
          <w:bCs/>
          <w:color w:val="2E86AB"/>
          <w:sz w:val="26"/>
          <w:szCs w:val="26"/>
        </w:rPr>
        <w:t xml:space="preserve">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Peak IoT ingestion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~2.1 million sensor events per minute across all sites during peak working hours (07:00–18:00 local per site)</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Concurrent visualization users</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Up to 4,200 simultaneous 3D viewer sessions (one per active site manager + safety officer + project director)</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Safety alert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P99 delivery within 10 seconds from sensor trigger to notification delivery — this is a hard requirement, not a target</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3D viewer load time</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Initial site model load under 8 seconds on a 50 Mbps connection</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Audit log query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90-day point-in-time query response under 3 seconds for any site</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BIM delta processing</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Must process a 500 MB IFC delta file within 12 minutes of receipt</w:t>
            </w:r>
          </w:p>
        </w:tc>
      </w:tr>
    </w:tbl>
    <w:p>
      <w:pPr>
        <w:spacing w:before="0" w:after="160"/>
      </w:pPr>
    </w:p>
    <w:p>
      <w:pPr>
        <w:pStyle w:val="Heading2"/>
        <w:spacing w:before="320" w:after="120"/>
      </w:pPr>
      <w:r>
        <w:rPr>
          <w:rFonts w:ascii="Arial" w:cs="Arial" w:eastAsia="Arial" w:hAnsi="Arial"/>
          <w:b/>
          <w:bCs/>
          <w:color w:val="2E86AB"/>
          <w:sz w:val="26"/>
          <w:szCs w:val="26"/>
        </w:rPr>
        <w:t xml:space="preserve">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Core platform uptime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99.9% (8.7 hours downtime/year maximum) for the data ingestion and safety alerting subsystems</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Visualization uptime</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99.5% acceptable (the 3D viewer may undergo maintenance windows)</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Data durability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Zero data loss for sensor telemetry and safety alerts — these must survive any single infrastructure failure</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Safety alert availability</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Safety alerting must survive the loss of any single availability zone and must degrade gracefully during full internet outages via SMS fallback</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Recovery point 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Maximum 60 seconds data loss for site twin state after a failure event</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Recovery time objective</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Full platform recovery within 30 minutes; safety alerting recovery within 5 minutes</w:t>
            </w:r>
          </w:p>
        </w:tc>
      </w:tr>
    </w:tbl>
    <w:p>
      <w:pPr>
        <w:spacing w:before="0" w:after="160"/>
      </w:pPr>
    </w:p>
    <w:p>
      <w:pPr>
        <w:pStyle w:val="Heading2"/>
        <w:spacing w:before="320" w:after="120"/>
      </w:pPr>
      <w:r>
        <w:rPr>
          <w:rFonts w:ascii="Arial" w:cs="Arial" w:eastAsia="Arial" w:hAnsi="Arial"/>
          <w:b/>
          <w:bCs/>
          <w:color w:val="2E86AB"/>
          <w:sz w:val="26"/>
          <w:szCs w:val="26"/>
        </w:rPr>
        <w:t xml:space="preserve">Connectivity &amp; Edge Constraints</w:t>
      </w:r>
    </w:p>
    <w:p>
      <w:pPr>
        <w:spacing w:before="80" w:after="100"/>
      </w:pPr>
      <w:r>
        <w:rPr>
          <w:rFonts w:ascii="Arial" w:cs="Arial" w:eastAsia="Arial" w:hAnsi="Arial"/>
          <w:color w:val="2D2D2D"/>
          <w:sz w:val="22"/>
          <w:szCs w:val="22"/>
        </w:rPr>
        <w:t xml:space="preserve">This is a defining constraint of the system. Construction sites have highly variable and often unreliable internet connectivity:</w:t>
      </w:r>
    </w:p>
    <w:p>
      <w:pPr>
        <w:pStyle w:val="ListParagraph"/>
        <w:numPr>
          <w:ilvl w:val="0"/>
          <w:numId w:val="2"/>
        </w:numPr>
        <w:spacing w:before="60" w:after="60"/>
      </w:pPr>
      <w:r>
        <w:rPr>
          <w:rFonts w:ascii="Arial" w:cs="Arial" w:eastAsia="Arial" w:hAnsi="Arial"/>
          <w:color w:val="2D2D2D"/>
          <w:sz w:val="22"/>
          <w:szCs w:val="22"/>
        </w:rPr>
        <w:t xml:space="preserve">15% of sites rely solely on LTE/5G with average uplink of 8–25 Mbps and intermittent outages of 5–45 minutes several times per day.</w:t>
      </w:r>
    </w:p>
    <w:p>
      <w:pPr>
        <w:pStyle w:val="ListParagraph"/>
        <w:numPr>
          <w:ilvl w:val="0"/>
          <w:numId w:val="2"/>
        </w:numPr>
        <w:spacing w:before="60" w:after="60"/>
      </w:pPr>
      <w:r>
        <w:rPr>
          <w:rFonts w:ascii="Arial" w:cs="Arial" w:eastAsia="Arial" w:hAnsi="Arial"/>
          <w:color w:val="2D2D2D"/>
          <w:sz w:val="22"/>
          <w:szCs w:val="22"/>
        </w:rPr>
        <w:t xml:space="preserve">40% of sites have a primary fiber/cable connection (50–200 Mbps) plus LTE failover.</w:t>
      </w:r>
    </w:p>
    <w:p>
      <w:pPr>
        <w:pStyle w:val="ListParagraph"/>
        <w:numPr>
          <w:ilvl w:val="0"/>
          <w:numId w:val="2"/>
        </w:numPr>
        <w:spacing w:before="60" w:after="60"/>
      </w:pPr>
      <w:r>
        <w:rPr>
          <w:rFonts w:ascii="Arial" w:cs="Arial" w:eastAsia="Arial" w:hAnsi="Arial"/>
          <w:color w:val="2D2D2D"/>
          <w:sz w:val="22"/>
          <w:szCs w:val="22"/>
        </w:rPr>
        <w:t xml:space="preserve">45% of sites have dedicated leased lines but experience packet loss of 1–8% due to physical interference from heavy machinery.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855" w:sz="12"/>
              <w:left w:val="single" w:color="E84855" w:sz="12"/>
              <w:bottom w:val="single" w:color="CCCCCC" w:sz="1"/>
              <w:right w:val="single" w:color="CCCCCC" w:sz="1"/>
            </w:tcBorders>
            <w:shd w:fill="EBF4F8" w:val="clear"/>
            <w:tcMar>
              <w:top w:type="dxa" w:w="120"/>
              <w:left w:type="dxa" w:w="200"/>
              <w:bottom w:type="dxa" w:w="120"/>
              <w:right w:type="dxa" w:w="200"/>
            </w:tcMar>
          </w:tcPr>
          <w:p>
            <w:pPr>
              <w:spacing w:before="60" w:after="80"/>
            </w:pPr>
            <w:r>
              <w:rPr>
                <w:rFonts w:ascii="Arial" w:cs="Arial" w:eastAsia="Arial" w:hAnsi="Arial"/>
                <w:b/>
                <w:bCs/>
                <w:color w:val="E84855"/>
                <w:sz w:val="22"/>
                <w:szCs w:val="22"/>
              </w:rPr>
              <w:t xml:space="preserve">Critical Edge Requirement</w:t>
            </w:r>
          </w:p>
          <w:p>
            <w:pPr>
              <w:spacing w:before="40" w:after="40"/>
            </w:pPr>
            <w:r>
              <w:rPr>
                <w:rFonts w:ascii="Arial" w:cs="Arial" w:eastAsia="Arial" w:hAnsi="Arial"/>
                <w:color w:val="2D2D2D"/>
                <w:sz w:val="21"/>
                <w:szCs w:val="21"/>
              </w:rPr>
              <w:t xml:space="preserve">Safety alerting (FR-2) must NOT be dependent on continuous cloud connectivity.</w:t>
            </w:r>
          </w:p>
          <w:p>
            <w:pPr>
              <w:spacing w:before="40" w:after="40"/>
            </w:pPr>
            <w:r>
              <w:rPr>
                <w:rFonts w:ascii="Arial" w:cs="Arial" w:eastAsia="Arial" w:hAnsi="Arial"/>
                <w:color w:val="2D2D2D"/>
                <w:sz w:val="21"/>
                <w:szCs w:val="21"/>
              </w:rPr>
              <w:t xml:space="preserve">Each site must have a local processing capability that can:</w:t>
            </w:r>
          </w:p>
          <w:p>
            <w:pPr>
              <w:spacing w:before="40" w:after="40"/>
            </w:pPr>
            <w:r>
              <w:rPr>
                <w:rFonts w:ascii="Arial" w:cs="Arial" w:eastAsia="Arial" w:hAnsi="Arial"/>
                <w:color w:val="2D2D2D"/>
                <w:sz w:val="21"/>
                <w:szCs w:val="21"/>
              </w:rPr>
              <w:t xml:space="preserve">   • Continue detecting safety violations and triggering site-local alerts during outages.</w:t>
            </w:r>
          </w:p>
          <w:p>
            <w:pPr>
              <w:spacing w:before="40" w:after="40"/>
            </w:pPr>
            <w:r>
              <w:rPr>
                <w:rFonts w:ascii="Arial" w:cs="Arial" w:eastAsia="Arial" w:hAnsi="Arial"/>
                <w:color w:val="2D2D2D"/>
                <w:sz w:val="21"/>
                <w:szCs w:val="21"/>
              </w:rPr>
              <w:t xml:space="preserve">   • Buffer up to 72 hours of sensor telemetry for upload when connectivity resumes.</w:t>
            </w:r>
          </w:p>
          <w:p>
            <w:pPr>
              <w:spacing w:before="40" w:after="40"/>
            </w:pPr>
            <w:r>
              <w:rPr>
                <w:rFonts w:ascii="Arial" w:cs="Arial" w:eastAsia="Arial" w:hAnsi="Arial"/>
                <w:color w:val="2D2D2D"/>
                <w:sz w:val="21"/>
                <w:szCs w:val="21"/>
              </w:rPr>
              <w:t xml:space="preserve">   • Operate in isolation for up to 48 hours without degrading core safety functions.</w:t>
            </w:r>
          </w:p>
          <w:p>
            <w:pPr>
              <w:spacing w:before="40" w:after="40"/>
            </w:pPr>
            <w:r>
              <w:rPr>
                <w:rFonts w:ascii="Arial" w:cs="Arial" w:eastAsia="Arial" w:hAnsi="Arial"/>
                <w:color w:val="2D2D2D"/>
                <w:sz w:val="21"/>
                <w:szCs w:val="21"/>
              </w:rPr>
              <w:t xml:space="preserve">When connectivity resumes, buffered data must be reconciled with the cloud twin without data loss or duplication.</w:t>
            </w:r>
          </w:p>
        </w:tc>
      </w:tr>
    </w:tbl>
    <w:p>
      <w:pPr>
        <w:spacing w:before="0" w:after="160"/>
      </w:pPr>
    </w:p>
    <w:p>
      <w:pPr>
        <w:pStyle w:val="Heading2"/>
        <w:spacing w:before="320" w:after="120"/>
      </w:pPr>
      <w:r>
        <w:rPr>
          <w:rFonts w:ascii="Arial" w:cs="Arial" w:eastAsia="Arial" w:hAnsi="Arial"/>
          <w:b/>
          <w:bCs/>
          <w:color w:val="2E86AB"/>
          <w:sz w:val="26"/>
          <w:szCs w:val="26"/>
        </w:rPr>
        <w:t xml:space="preserve">Security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SSO integration with GlobalBuild's Azure Active Directory. MFA required for all users with safety alert management permissions</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Data isolation</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Subcontractors may only view data from their own work zones within a site. Cross-site data access requires explicit role assignment</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Client portal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Client portal must be architecturally isolated from internal operations data. No worker PII must be accessible to clients</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Audit log integrity</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The audit log must be cryptographically tamper-evident — any modification to historical records must be detectable</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Worker data 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Worker location telemetry is sensitive personal data subject to GDPR in EU sites. Retention, access controls, and deletion workflows required</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Data residency</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Sites in Germany, France, and the UAE have regulatory requirements that mandate sensor and worker data storage within their respective country borders</w:t>
            </w:r>
          </w:p>
        </w:tc>
      </w:tr>
    </w:tbl>
    <w:p>
      <w:pPr>
        <w:spacing w:before="0" w:after="160"/>
      </w:pPr>
    </w:p>
    <w:p>
      <w:pPr>
        <w:pStyle w:val="Heading2"/>
        <w:spacing w:before="320" w:after="120"/>
      </w:pPr>
      <w:r>
        <w:rPr>
          <w:rFonts w:ascii="Arial" w:cs="Arial" w:eastAsia="Arial" w:hAnsi="Arial"/>
          <w:b/>
          <w:bCs/>
          <w:color w:val="2E86AB"/>
          <w:sz w:val="26"/>
          <w:szCs w:val="26"/>
        </w:rPr>
        <w:t xml:space="preserve">Operational Constraints</w:t>
      </w:r>
    </w:p>
    <w:p>
      <w:pPr>
        <w:pStyle w:val="ListParagraph"/>
        <w:numPr>
          <w:ilvl w:val="0"/>
          <w:numId w:val="2"/>
        </w:numPr>
        <w:spacing w:before="60" w:after="60"/>
      </w:pPr>
      <w:r>
        <w:rPr>
          <w:rFonts w:ascii="Arial" w:cs="Arial" w:eastAsia="Arial" w:hAnsi="Arial"/>
          <w:color w:val="2D2D2D"/>
          <w:sz w:val="22"/>
          <w:szCs w:val="22"/>
        </w:rPr>
        <w:t xml:space="preserve">GlobalBuild's IT operations team has strong Azure expertise. AWS or GCP are technically acceptable but will require justification.</w:t>
      </w:r>
    </w:p>
    <w:p>
      <w:pPr>
        <w:pStyle w:val="ListParagraph"/>
        <w:numPr>
          <w:ilvl w:val="0"/>
          <w:numId w:val="2"/>
        </w:numPr>
        <w:spacing w:before="60" w:after="60"/>
      </w:pPr>
      <w:r>
        <w:rPr>
          <w:rFonts w:ascii="Arial" w:cs="Arial" w:eastAsia="Arial" w:hAnsi="Arial"/>
          <w:color w:val="2D2D2D"/>
          <w:sz w:val="22"/>
          <w:szCs w:val="22"/>
        </w:rPr>
        <w:t xml:space="preserve">New sites must be onboardable (hardware provisioned, cloud resources configured, twin initialized) within 48 hours of site activation. No manual cloud configuration per site is acceptable.</w:t>
      </w:r>
    </w:p>
    <w:p>
      <w:pPr>
        <w:pStyle w:val="ListParagraph"/>
        <w:numPr>
          <w:ilvl w:val="0"/>
          <w:numId w:val="2"/>
        </w:numPr>
        <w:spacing w:before="60" w:after="60"/>
      </w:pPr>
      <w:r>
        <w:rPr>
          <w:rFonts w:ascii="Arial" w:cs="Arial" w:eastAsia="Arial" w:hAnsi="Arial"/>
          <w:color w:val="2D2D2D"/>
          <w:sz w:val="22"/>
          <w:szCs w:val="22"/>
        </w:rPr>
        <w:t xml:space="preserve">The system must support zero-downtime deployments — a deploy must not interrupt active safety alerting.</w:t>
      </w:r>
    </w:p>
    <w:p>
      <w:pPr>
        <w:pStyle w:val="ListParagraph"/>
        <w:numPr>
          <w:ilvl w:val="0"/>
          <w:numId w:val="2"/>
        </w:numPr>
        <w:spacing w:before="60" w:after="60"/>
      </w:pPr>
      <w:r>
        <w:rPr>
          <w:rFonts w:ascii="Arial" w:cs="Arial" w:eastAsia="Arial" w:hAnsi="Arial"/>
          <w:color w:val="2D2D2D"/>
          <w:sz w:val="22"/>
          <w:szCs w:val="22"/>
        </w:rPr>
        <w:t xml:space="preserve">The 3D visualization must support BIM models in both Revit (.rvt via BIM 360 API) and IFC formats. Some legacy projects only have IFC.</w:t>
      </w:r>
    </w:p>
    <w:p>
      <w:pPr>
        <w:spacing w:before="0" w:after="160"/>
      </w:pPr>
    </w:p>
    <w:p>
      <w:r>
        <w:br w:type="page"/>
      </w:r>
    </w:p>
    <w:p>
      <w:pPr>
        <w:spacing w:before="360" w:after="80"/>
      </w:pPr>
      <w:r>
        <w:rPr>
          <w:rFonts w:ascii="Arial" w:cs="Arial" w:eastAsia="Arial" w:hAnsi="Arial"/>
          <w:b/>
          <w:bCs/>
          <w:color w:val="2E86AB"/>
          <w:spacing w:val="40"/>
          <w:sz w:val="18"/>
          <w:szCs w:val="18"/>
        </w:rPr>
        <w:t xml:space="preserve">SECTION 5</w:t>
      </w:r>
    </w:p>
    <w:p>
      <w:pPr>
        <w:pStyle w:val="Heading1"/>
        <w:spacing w:before="480" w:after="160"/>
      </w:pPr>
      <w:r>
        <w:rPr>
          <w:rFonts w:ascii="Arial" w:cs="Arial" w:eastAsia="Arial" w:hAnsi="Arial"/>
          <w:b/>
          <w:bCs/>
          <w:color w:val="1B3A5C"/>
          <w:sz w:val="36"/>
          <w:szCs w:val="36"/>
        </w:rPr>
        <w:t xml:space="preserve">Key Architecture Tensions</w:t>
      </w:r>
    </w:p>
    <w:p>
      <w:pPr>
        <w:pBdr>
          <w:bottom w:val="single" w:color="2E86AB" w:sz="8" w:space="1"/>
        </w:pBdr>
        <w:spacing w:before="0" w:after="120"/>
      </w:pPr>
    </w:p>
    <w:p>
      <w:pPr>
        <w:spacing w:before="80" w:after="100"/>
      </w:pPr>
      <w:r>
        <w:rPr>
          <w:rFonts w:ascii="Arial" w:cs="Arial" w:eastAsia="Arial" w:hAnsi="Arial"/>
          <w:color w:val="2D2D2D"/>
          <w:sz w:val="22"/>
          <w:szCs w:val="22"/>
        </w:rPr>
        <w:t xml:space="preserve">The following tensions are intentional design challenges embedded in this kata. Teams are expected to identify and articulate how they resolve each tension in their proposed architecture. There are no universally correct answers — the goal is to make explicit, defensible trade-off decisions.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855" w:sz="12"/>
              <w:left w:val="single" w:color="E84855" w:sz="12"/>
              <w:bottom w:val="single" w:color="CCCCCC" w:sz="1"/>
              <w:right w:val="single" w:color="CCCCCC" w:sz="1"/>
            </w:tcBorders>
            <w:shd w:fill="EBF4F8" w:val="clear"/>
            <w:tcMar>
              <w:top w:type="dxa" w:w="120"/>
              <w:left w:type="dxa" w:w="200"/>
              <w:bottom w:type="dxa" w:w="120"/>
              <w:right w:type="dxa" w:w="200"/>
            </w:tcMar>
          </w:tcPr>
          <w:p>
            <w:pPr>
              <w:spacing w:before="60" w:after="80"/>
            </w:pPr>
            <w:r>
              <w:rPr>
                <w:rFonts w:ascii="Arial" w:cs="Arial" w:eastAsia="Arial" w:hAnsi="Arial"/>
                <w:b/>
                <w:bCs/>
                <w:color w:val="E84855"/>
                <w:sz w:val="22"/>
                <w:szCs w:val="22"/>
              </w:rPr>
              <w:t xml:space="preserve">Tension 1: Real-Time Safety Alerting vs. Unreliable Connectivity</w:t>
            </w:r>
          </w:p>
          <w:p>
            <w:pPr>
              <w:spacing w:before="40" w:after="40"/>
            </w:pPr>
            <w:r>
              <w:rPr>
                <w:rFonts w:ascii="Arial" w:cs="Arial" w:eastAsia="Arial" w:hAnsi="Arial"/>
                <w:color w:val="2D2D2D"/>
                <w:sz w:val="21"/>
                <w:szCs w:val="21"/>
              </w:rPr>
              <w:t xml:space="preserve">Safety alerts require guaranteed sub-10-second delivery. But connectivity is frequently interrupted.</w:t>
            </w:r>
          </w:p>
          <w:p>
            <w:pPr>
              <w:spacing w:before="40" w:after="40"/>
            </w:pPr>
            <w:r>
              <w:rPr>
                <w:rFonts w:ascii="Arial" w:cs="Arial" w:eastAsia="Arial" w:hAnsi="Arial"/>
                <w:color w:val="2D2D2D"/>
                <w:sz w:val="21"/>
                <w:szCs w:val="21"/>
              </w:rPr>
              <w:t xml:space="preserve">A purely cloud-centric architecture cannot meet this guarantee. A purely edge architecture cannot support cross-site analytics.</w:t>
            </w:r>
          </w:p>
          <w:p>
            <w:pPr>
              <w:spacing w:before="40" w:after="40"/>
            </w:pPr>
            <w:r>
              <w:rPr>
                <w:rFonts w:ascii="Arial" w:cs="Arial" w:eastAsia="Arial" w:hAnsi="Arial"/>
                <w:color w:val="2D2D2D"/>
                <w:sz w:val="21"/>
                <w:szCs w:val="21"/>
              </w:rPr>
              <w:t xml:space="preserve"/>
            </w:r>
          </w:p>
          <w:p>
            <w:pPr>
              <w:spacing w:before="40" w:after="40"/>
            </w:pPr>
            <w:r>
              <w:rPr>
                <w:rFonts w:ascii="Arial" w:cs="Arial" w:eastAsia="Arial" w:hAnsi="Arial"/>
                <w:color w:val="2D2D2D"/>
                <w:sz w:val="21"/>
                <w:szCs w:val="21"/>
              </w:rPr>
              <w:t xml:space="preserve">Design Questions:</w:t>
            </w:r>
          </w:p>
          <w:p>
            <w:pPr>
              <w:spacing w:before="40" w:after="40"/>
            </w:pPr>
            <w:r>
              <w:rPr>
                <w:rFonts w:ascii="Arial" w:cs="Arial" w:eastAsia="Arial" w:hAnsi="Arial"/>
                <w:color w:val="2D2D2D"/>
                <w:sz w:val="21"/>
                <w:szCs w:val="21"/>
              </w:rPr>
              <w:t xml:space="preserve">  → Where does safety alert logic live — cloud, edge, or both?</w:t>
            </w:r>
          </w:p>
          <w:p>
            <w:pPr>
              <w:spacing w:before="40" w:after="40"/>
            </w:pPr>
            <w:r>
              <w:rPr>
                <w:rFonts w:ascii="Arial" w:cs="Arial" w:eastAsia="Arial" w:hAnsi="Arial"/>
                <w:color w:val="2D2D2D"/>
                <w:sz w:val="21"/>
                <w:szCs w:val="21"/>
              </w:rPr>
              <w:t xml:space="preserve">  → What is the failure mode when a site loses connectivity mid-alert processing?</w:t>
            </w:r>
          </w:p>
          <w:p>
            <w:pPr>
              <w:spacing w:before="40" w:after="40"/>
            </w:pPr>
            <w:r>
              <w:rPr>
                <w:rFonts w:ascii="Arial" w:cs="Arial" w:eastAsia="Arial" w:hAnsi="Arial"/>
                <w:color w:val="2D2D2D"/>
                <w:sz w:val="21"/>
                <w:szCs w:val="21"/>
              </w:rPr>
              <w:t xml:space="preserve">  → How do you handle the case where an edge node itself fails during an outage?</w:t>
            </w:r>
          </w:p>
          <w:p>
            <w:pPr>
              <w:spacing w:before="40" w:after="40"/>
            </w:pPr>
            <w:r>
              <w:rPr>
                <w:rFonts w:ascii="Arial" w:cs="Arial" w:eastAsia="Arial" w:hAnsi="Arial"/>
                <w:color w:val="2D2D2D"/>
                <w:sz w:val="21"/>
                <w:szCs w:val="21"/>
              </w:rPr>
              <w:t xml:space="preserve">  → How do you prevent alert duplication when buffered data is reconciled on reconnection?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2"/>
              <w:left w:val="single" w:color="2E86AB" w:sz="12"/>
              <w:bottom w:val="single" w:color="CCCCCC" w:sz="1"/>
              <w:right w:val="single" w:color="CCCCCC" w:sz="1"/>
            </w:tcBorders>
            <w:shd w:fill="EBF4F8" w:val="clear"/>
            <w:tcMar>
              <w:top w:type="dxa" w:w="120"/>
              <w:left w:type="dxa" w:w="200"/>
              <w:bottom w:type="dxa" w:w="120"/>
              <w:right w:type="dxa" w:w="200"/>
            </w:tcMar>
          </w:tcPr>
          <w:p>
            <w:pPr>
              <w:spacing w:before="60" w:after="80"/>
            </w:pPr>
            <w:r>
              <w:rPr>
                <w:rFonts w:ascii="Arial" w:cs="Arial" w:eastAsia="Arial" w:hAnsi="Arial"/>
                <w:b/>
                <w:bCs/>
                <w:color w:val="2E86AB"/>
                <w:sz w:val="22"/>
                <w:szCs w:val="22"/>
              </w:rPr>
              <w:t xml:space="preserve">Tension 2: Immutable Audit Log vs. Storage Economics at Scale</w:t>
            </w:r>
          </w:p>
          <w:p>
            <w:pPr>
              <w:spacing w:before="40" w:after="40"/>
            </w:pPr>
            <w:r>
              <w:rPr>
                <w:rFonts w:ascii="Arial" w:cs="Arial" w:eastAsia="Arial" w:hAnsi="Arial"/>
                <w:color w:val="2D2D2D"/>
                <w:sz w:val="21"/>
                <w:szCs w:val="21"/>
              </w:rPr>
              <w:t xml:space="preserve">An immutable audit log of all twin state changes, sensor readings, and safety events across 340 sites</w:t>
            </w:r>
          </w:p>
          <w:p>
            <w:pPr>
              <w:spacing w:before="40" w:after="40"/>
            </w:pPr>
            <w:r>
              <w:rPr>
                <w:rFonts w:ascii="Arial" w:cs="Arial" w:eastAsia="Arial" w:hAnsi="Arial"/>
                <w:color w:val="2D2D2D"/>
                <w:sz w:val="21"/>
                <w:szCs w:val="21"/>
              </w:rPr>
              <w:t xml:space="preserve">for 90+ days represents an enormous volume of data. Structured immutability (blockchain-style) adds overhead.</w:t>
            </w:r>
          </w:p>
          <w:p>
            <w:pPr>
              <w:spacing w:before="40" w:after="40"/>
            </w:pPr>
            <w:r>
              <w:rPr>
                <w:rFonts w:ascii="Arial" w:cs="Arial" w:eastAsia="Arial" w:hAnsi="Arial"/>
                <w:color w:val="2D2D2D"/>
                <w:sz w:val="21"/>
                <w:szCs w:val="21"/>
              </w:rPr>
              <w:t xml:space="preserve"/>
            </w:r>
          </w:p>
          <w:p>
            <w:pPr>
              <w:spacing w:before="40" w:after="40"/>
            </w:pPr>
            <w:r>
              <w:rPr>
                <w:rFonts w:ascii="Arial" w:cs="Arial" w:eastAsia="Arial" w:hAnsi="Arial"/>
                <w:color w:val="2D2D2D"/>
                <w:sz w:val="21"/>
                <w:szCs w:val="21"/>
              </w:rPr>
              <w:t xml:space="preserve">Design Questions:</w:t>
            </w:r>
          </w:p>
          <w:p>
            <w:pPr>
              <w:spacing w:before="40" w:after="40"/>
            </w:pPr>
            <w:r>
              <w:rPr>
                <w:rFonts w:ascii="Arial" w:cs="Arial" w:eastAsia="Arial" w:hAnsi="Arial"/>
                <w:color w:val="2D2D2D"/>
                <w:sz w:val="21"/>
                <w:szCs w:val="21"/>
              </w:rPr>
              <w:t xml:space="preserve">  → What constitutes an 'event' in the audit log — every sensor reading, or only state transitions?</w:t>
            </w:r>
          </w:p>
          <w:p>
            <w:pPr>
              <w:spacing w:before="40" w:after="40"/>
            </w:pPr>
            <w:r>
              <w:rPr>
                <w:rFonts w:ascii="Arial" w:cs="Arial" w:eastAsia="Arial" w:hAnsi="Arial"/>
                <w:color w:val="2D2D2D"/>
                <w:sz w:val="21"/>
                <w:szCs w:val="21"/>
              </w:rPr>
              <w:t xml:space="preserve">  → How do you achieve tamper-evidence without prohibitive storage costs?</w:t>
            </w:r>
          </w:p>
          <w:p>
            <w:pPr>
              <w:spacing w:before="40" w:after="40"/>
            </w:pPr>
            <w:r>
              <w:rPr>
                <w:rFonts w:ascii="Arial" w:cs="Arial" w:eastAsia="Arial" w:hAnsi="Arial"/>
                <w:color w:val="2D2D2D"/>
                <w:sz w:val="21"/>
                <w:szCs w:val="21"/>
              </w:rPr>
              <w:t xml:space="preserve">  → What is the tiering strategy for hot (recent) vs. cold (archived) audit data?</w:t>
            </w:r>
          </w:p>
          <w:p>
            <w:pPr>
              <w:spacing w:before="40" w:after="40"/>
            </w:pPr>
            <w:r>
              <w:rPr>
                <w:rFonts w:ascii="Arial" w:cs="Arial" w:eastAsia="Arial" w:hAnsi="Arial"/>
                <w:color w:val="2D2D2D"/>
                <w:sz w:val="21"/>
                <w:szCs w:val="21"/>
              </w:rPr>
              <w:t xml:space="preserve">  → How do you support point-in-time queries efficiently across a 90-day window?</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B273" w:sz="12"/>
              <w:left w:val="single" w:color="3BB273" w:sz="12"/>
              <w:bottom w:val="single" w:color="CCCCCC" w:sz="1"/>
              <w:right w:val="single" w:color="CCCCCC" w:sz="1"/>
            </w:tcBorders>
            <w:shd w:fill="EBF4F8" w:val="clear"/>
            <w:tcMar>
              <w:top w:type="dxa" w:w="120"/>
              <w:left w:type="dxa" w:w="200"/>
              <w:bottom w:type="dxa" w:w="120"/>
              <w:right w:type="dxa" w:w="200"/>
            </w:tcMar>
          </w:tcPr>
          <w:p>
            <w:pPr>
              <w:spacing w:before="60" w:after="80"/>
            </w:pPr>
            <w:r>
              <w:rPr>
                <w:rFonts w:ascii="Arial" w:cs="Arial" w:eastAsia="Arial" w:hAnsi="Arial"/>
                <w:b/>
                <w:bCs/>
                <w:color w:val="3BB273"/>
                <w:sz w:val="22"/>
                <w:szCs w:val="22"/>
              </w:rPr>
              <w:t xml:space="preserve">Tension 3: BIM Model Scale vs. Real-Time Twin Synchronization</w:t>
            </w:r>
          </w:p>
          <w:p>
            <w:pPr>
              <w:spacing w:before="40" w:after="40"/>
            </w:pPr>
            <w:r>
              <w:rPr>
                <w:rFonts w:ascii="Arial" w:cs="Arial" w:eastAsia="Arial" w:hAnsi="Arial"/>
                <w:color w:val="2D2D2D"/>
                <w:sz w:val="21"/>
                <w:szCs w:val="21"/>
              </w:rPr>
              <w:t xml:space="preserve">BIM models are massive (18–120 GB). They change frequently. The twin must reflect approved changes within 30 minutes.</w:t>
            </w:r>
          </w:p>
          <w:p>
            <w:pPr>
              <w:spacing w:before="40" w:after="40"/>
            </w:pPr>
            <w:r>
              <w:rPr>
                <w:rFonts w:ascii="Arial" w:cs="Arial" w:eastAsia="Arial" w:hAnsi="Arial"/>
                <w:color w:val="2D2D2D"/>
                <w:sz w:val="21"/>
                <w:szCs w:val="21"/>
              </w:rPr>
              <w:t xml:space="preserve">Transmitting full models is impractical. But applying deltas requires understanding the current model state.</w:t>
            </w:r>
          </w:p>
          <w:p>
            <w:pPr>
              <w:spacing w:before="40" w:after="40"/>
            </w:pPr>
            <w:r>
              <w:rPr>
                <w:rFonts w:ascii="Arial" w:cs="Arial" w:eastAsia="Arial" w:hAnsi="Arial"/>
                <w:color w:val="2D2D2D"/>
                <w:sz w:val="21"/>
                <w:szCs w:val="21"/>
              </w:rPr>
              <w:t xml:space="preserve"/>
            </w:r>
          </w:p>
          <w:p>
            <w:pPr>
              <w:spacing w:before="40" w:after="40"/>
            </w:pPr>
            <w:r>
              <w:rPr>
                <w:rFonts w:ascii="Arial" w:cs="Arial" w:eastAsia="Arial" w:hAnsi="Arial"/>
                <w:color w:val="2D2D2D"/>
                <w:sz w:val="21"/>
                <w:szCs w:val="21"/>
              </w:rPr>
              <w:t xml:space="preserve">Design Questions:</w:t>
            </w:r>
          </w:p>
          <w:p>
            <w:pPr>
              <w:spacing w:before="40" w:after="40"/>
            </w:pPr>
            <w:r>
              <w:rPr>
                <w:rFonts w:ascii="Arial" w:cs="Arial" w:eastAsia="Arial" w:hAnsi="Arial"/>
                <w:color w:val="2D2D2D"/>
                <w:sz w:val="21"/>
                <w:szCs w:val="21"/>
              </w:rPr>
              <w:t xml:space="preserve">  → How do you model the digital twin state to support efficient delta application?</w:t>
            </w:r>
          </w:p>
          <w:p>
            <w:pPr>
              <w:spacing w:before="40" w:after="40"/>
            </w:pPr>
            <w:r>
              <w:rPr>
                <w:rFonts w:ascii="Arial" w:cs="Arial" w:eastAsia="Arial" w:hAnsi="Arial"/>
                <w:color w:val="2D2D2D"/>
                <w:sz w:val="21"/>
                <w:szCs w:val="21"/>
              </w:rPr>
              <w:t xml:space="preserve">  → What is your strategy for the initial load of a new site's BIM model vs. incremental updates?</w:t>
            </w:r>
          </w:p>
          <w:p>
            <w:pPr>
              <w:spacing w:before="40" w:after="40"/>
            </w:pPr>
            <w:r>
              <w:rPr>
                <w:rFonts w:ascii="Arial" w:cs="Arial" w:eastAsia="Arial" w:hAnsi="Arial"/>
                <w:color w:val="2D2D2D"/>
                <w:sz w:val="21"/>
                <w:szCs w:val="21"/>
              </w:rPr>
              <w:t xml:space="preserve">  → How do you reconcile conflicts when a drone survey shows as-built state diverging from BIM design?</w:t>
            </w:r>
          </w:p>
          <w:p>
            <w:pPr>
              <w:spacing w:before="40" w:after="40"/>
            </w:pPr>
            <w:r>
              <w:rPr>
                <w:rFonts w:ascii="Arial" w:cs="Arial" w:eastAsia="Arial" w:hAnsi="Arial"/>
                <w:color w:val="2D2D2D"/>
                <w:sz w:val="21"/>
                <w:szCs w:val="21"/>
              </w:rPr>
              <w:t xml:space="preserve">  → Where does BIM model rendering occur — server-side, client-side, or a hybrid tile approach?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59" w:sz="12"/>
              <w:left w:val="single" w:color="F4A259" w:sz="12"/>
              <w:bottom w:val="single" w:color="CCCCCC" w:sz="1"/>
              <w:right w:val="single" w:color="CCCCCC" w:sz="1"/>
            </w:tcBorders>
            <w:shd w:fill="EBF4F8" w:val="clear"/>
            <w:tcMar>
              <w:top w:type="dxa" w:w="120"/>
              <w:left w:type="dxa" w:w="200"/>
              <w:bottom w:type="dxa" w:w="120"/>
              <w:right w:type="dxa" w:w="200"/>
            </w:tcMar>
          </w:tcPr>
          <w:p>
            <w:pPr>
              <w:spacing w:before="60" w:after="80"/>
            </w:pPr>
            <w:r>
              <w:rPr>
                <w:rFonts w:ascii="Arial" w:cs="Arial" w:eastAsia="Arial" w:hAnsi="Arial"/>
                <w:b/>
                <w:bCs/>
                <w:color w:val="F4A259"/>
                <w:sz w:val="22"/>
                <w:szCs w:val="22"/>
              </w:rPr>
              <w:t xml:space="preserve">Tension 4: Multi-Tenant Data Isolation vs. Cross-Site Analytics</w:t>
            </w:r>
          </w:p>
          <w:p>
            <w:pPr>
              <w:spacing w:before="40" w:after="40"/>
            </w:pPr>
            <w:r>
              <w:rPr>
                <w:rFonts w:ascii="Arial" w:cs="Arial" w:eastAsia="Arial" w:hAnsi="Arial"/>
                <w:color w:val="2D2D2D"/>
                <w:sz w:val="21"/>
                <w:szCs w:val="21"/>
              </w:rPr>
              <w:t xml:space="preserve">Subcontractors must not see other parties' data. Clients must not see worker PII.</w:t>
            </w:r>
          </w:p>
          <w:p>
            <w:pPr>
              <w:spacing w:before="40" w:after="40"/>
            </w:pPr>
            <w:r>
              <w:rPr>
                <w:rFonts w:ascii="Arial" w:cs="Arial" w:eastAsia="Arial" w:hAnsi="Arial"/>
                <w:color w:val="2D2D2D"/>
                <w:sz w:val="21"/>
                <w:szCs w:val="21"/>
              </w:rPr>
              <w:t xml:space="preserve">But cross-site analytics requires aggregating data across all tenants to detect patterns.</w:t>
            </w:r>
          </w:p>
          <w:p>
            <w:pPr>
              <w:spacing w:before="40" w:after="40"/>
            </w:pPr>
            <w:r>
              <w:rPr>
                <w:rFonts w:ascii="Arial" w:cs="Arial" w:eastAsia="Arial" w:hAnsi="Arial"/>
                <w:color w:val="2D2D2D"/>
                <w:sz w:val="21"/>
                <w:szCs w:val="21"/>
              </w:rPr>
              <w:t xml:space="preserve"/>
            </w:r>
          </w:p>
          <w:p>
            <w:pPr>
              <w:spacing w:before="40" w:after="40"/>
            </w:pPr>
            <w:r>
              <w:rPr>
                <w:rFonts w:ascii="Arial" w:cs="Arial" w:eastAsia="Arial" w:hAnsi="Arial"/>
                <w:color w:val="2D2D2D"/>
                <w:sz w:val="21"/>
                <w:szCs w:val="21"/>
              </w:rPr>
              <w:t xml:space="preserve">Design Questions:</w:t>
            </w:r>
          </w:p>
          <w:p>
            <w:pPr>
              <w:spacing w:before="40" w:after="40"/>
            </w:pPr>
            <w:r>
              <w:rPr>
                <w:rFonts w:ascii="Arial" w:cs="Arial" w:eastAsia="Arial" w:hAnsi="Arial"/>
                <w:color w:val="2D2D2D"/>
                <w:sz w:val="21"/>
                <w:szCs w:val="21"/>
              </w:rPr>
              <w:t xml:space="preserve">  → Is there a single data store with row-level security, or physically separate stores per tenant?</w:t>
            </w:r>
          </w:p>
          <w:p>
            <w:pPr>
              <w:spacing w:before="40" w:after="40"/>
            </w:pPr>
            <w:r>
              <w:rPr>
                <w:rFonts w:ascii="Arial" w:cs="Arial" w:eastAsia="Arial" w:hAnsi="Arial"/>
                <w:color w:val="2D2D2D"/>
                <w:sz w:val="21"/>
                <w:szCs w:val="21"/>
              </w:rPr>
              <w:t xml:space="preserve">  → How do you run aggregate analytics across tenant boundaries without violating isolation?</w:t>
            </w:r>
          </w:p>
          <w:p>
            <w:pPr>
              <w:spacing w:before="40" w:after="40"/>
            </w:pPr>
            <w:r>
              <w:rPr>
                <w:rFonts w:ascii="Arial" w:cs="Arial" w:eastAsia="Arial" w:hAnsi="Arial"/>
                <w:color w:val="2D2D2D"/>
                <w:sz w:val="21"/>
                <w:szCs w:val="21"/>
              </w:rPr>
              <w:t xml:space="preserve">  → How do you enforce data residency requirements (Germany, UAE) while maintaining a unified platform?</w:t>
            </w:r>
          </w:p>
          <w:p>
            <w:pPr>
              <w:spacing w:before="40" w:after="40"/>
            </w:pPr>
            <w:r>
              <w:rPr>
                <w:rFonts w:ascii="Arial" w:cs="Arial" w:eastAsia="Arial" w:hAnsi="Arial"/>
                <w:color w:val="2D2D2D"/>
                <w:sz w:val="21"/>
                <w:szCs w:val="21"/>
              </w:rPr>
              <w:t xml:space="preserve">  → How does a client portal with strict data access limitations get architecturally isolated?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2"/>
              <w:left w:val="single" w:color="1B3A5C" w:sz="12"/>
              <w:bottom w:val="single" w:color="CCCCCC" w:sz="1"/>
              <w:right w:val="single" w:color="CCCCCC" w:sz="1"/>
            </w:tcBorders>
            <w:shd w:fill="EBF4F8" w:val="clear"/>
            <w:tcMar>
              <w:top w:type="dxa" w:w="120"/>
              <w:left w:type="dxa" w:w="200"/>
              <w:bottom w:type="dxa" w:w="120"/>
              <w:right w:type="dxa" w:w="200"/>
            </w:tcMar>
          </w:tcPr>
          <w:p>
            <w:pPr>
              <w:spacing w:before="60" w:after="80"/>
            </w:pPr>
            <w:r>
              <w:rPr>
                <w:rFonts w:ascii="Arial" w:cs="Arial" w:eastAsia="Arial" w:hAnsi="Arial"/>
                <w:b/>
                <w:bCs/>
                <w:color w:val="1B3A5C"/>
                <w:sz w:val="22"/>
                <w:szCs w:val="22"/>
              </w:rPr>
              <w:t xml:space="preserve">Tension 5: IoT Data Volume vs. Query Performance</w:t>
            </w:r>
          </w:p>
          <w:p>
            <w:pPr>
              <w:spacing w:before="40" w:after="40"/>
            </w:pPr>
            <w:r>
              <w:rPr>
                <w:rFonts w:ascii="Arial" w:cs="Arial" w:eastAsia="Arial" w:hAnsi="Arial"/>
                <w:color w:val="2D2D2D"/>
                <w:sz w:val="21"/>
                <w:szCs w:val="21"/>
              </w:rPr>
              <w:t xml:space="preserve">2.1 million events per minute → ~126 million events per hour → ~3 billion per day at scale.</w:t>
            </w:r>
          </w:p>
          <w:p>
            <w:pPr>
              <w:spacing w:before="40" w:after="40"/>
            </w:pPr>
            <w:r>
              <w:rPr>
                <w:rFonts w:ascii="Arial" w:cs="Arial" w:eastAsia="Arial" w:hAnsi="Arial"/>
                <w:color w:val="2D2D2D"/>
                <w:sz w:val="21"/>
                <w:szCs w:val="21"/>
              </w:rPr>
              <w:t xml:space="preserve">The system must also support efficient time-series queries and real-time streaming simultaneously.</w:t>
            </w:r>
          </w:p>
          <w:p>
            <w:pPr>
              <w:spacing w:before="40" w:after="40"/>
            </w:pPr>
            <w:r>
              <w:rPr>
                <w:rFonts w:ascii="Arial" w:cs="Arial" w:eastAsia="Arial" w:hAnsi="Arial"/>
                <w:color w:val="2D2D2D"/>
                <w:sz w:val="21"/>
                <w:szCs w:val="21"/>
              </w:rPr>
              <w:t xml:space="preserve"/>
            </w:r>
          </w:p>
          <w:p>
            <w:pPr>
              <w:spacing w:before="40" w:after="40"/>
            </w:pPr>
            <w:r>
              <w:rPr>
                <w:rFonts w:ascii="Arial" w:cs="Arial" w:eastAsia="Arial" w:hAnsi="Arial"/>
                <w:color w:val="2D2D2D"/>
                <w:sz w:val="21"/>
                <w:szCs w:val="21"/>
              </w:rPr>
              <w:t xml:space="preserve">Design Questions:</w:t>
            </w:r>
          </w:p>
          <w:p>
            <w:pPr>
              <w:spacing w:before="40" w:after="40"/>
            </w:pPr>
            <w:r>
              <w:rPr>
                <w:rFonts w:ascii="Arial" w:cs="Arial" w:eastAsia="Arial" w:hAnsi="Arial"/>
                <w:color w:val="2D2D2D"/>
                <w:sz w:val="21"/>
                <w:szCs w:val="21"/>
              </w:rPr>
              <w:t xml:space="preserve">  → What data storage technology choices can handle both high-velocity writes and time-range queries?</w:t>
            </w:r>
          </w:p>
          <w:p>
            <w:pPr>
              <w:spacing w:before="40" w:after="40"/>
            </w:pPr>
            <w:r>
              <w:rPr>
                <w:rFonts w:ascii="Arial" w:cs="Arial" w:eastAsia="Arial" w:hAnsi="Arial"/>
                <w:color w:val="2D2D2D"/>
                <w:sz w:val="21"/>
                <w:szCs w:val="21"/>
              </w:rPr>
              <w:t xml:space="preserve">  → How do you downsample / aggregate historical sensor data without losing safety-critical events?</w:t>
            </w:r>
          </w:p>
          <w:p>
            <w:pPr>
              <w:spacing w:before="40" w:after="40"/>
            </w:pPr>
            <w:r>
              <w:rPr>
                <w:rFonts w:ascii="Arial" w:cs="Arial" w:eastAsia="Arial" w:hAnsi="Arial"/>
                <w:color w:val="2D2D2D"/>
                <w:sz w:val="21"/>
                <w:szCs w:val="21"/>
              </w:rPr>
              <w:t xml:space="preserve">  → How do you separate the write path (ingestion pipeline) from the read path (query/visualization)?</w:t>
            </w:r>
          </w:p>
          <w:p>
            <w:pPr>
              <w:spacing w:before="40" w:after="40"/>
            </w:pPr>
            <w:r>
              <w:rPr>
                <w:rFonts w:ascii="Arial" w:cs="Arial" w:eastAsia="Arial" w:hAnsi="Arial"/>
                <w:color w:val="2D2D2D"/>
                <w:sz w:val="21"/>
                <w:szCs w:val="21"/>
              </w:rPr>
              <w:t xml:space="preserve">  → What is your strategy for schema evolution as new sensor types are onboarded?</w:t>
            </w:r>
          </w:p>
        </w:tc>
      </w:tr>
    </w:tbl>
    <w:p>
      <w:pPr>
        <w:spacing w:before="0" w:after="160"/>
      </w:pPr>
    </w:p>
    <w:p>
      <w:r>
        <w:br w:type="page"/>
      </w:r>
    </w:p>
    <w:p>
      <w:pPr>
        <w:spacing w:before="360" w:after="80"/>
      </w:pPr>
      <w:r>
        <w:rPr>
          <w:rFonts w:ascii="Arial" w:cs="Arial" w:eastAsia="Arial" w:hAnsi="Arial"/>
          <w:b/>
          <w:bCs/>
          <w:color w:val="2E86AB"/>
          <w:spacing w:val="40"/>
          <w:sz w:val="18"/>
          <w:szCs w:val="18"/>
        </w:rPr>
        <w:t xml:space="preserve">SECTION 6</w:t>
      </w:r>
    </w:p>
    <w:p>
      <w:pPr>
        <w:pStyle w:val="Heading1"/>
        <w:spacing w:before="480" w:after="160"/>
      </w:pPr>
      <w:r>
        <w:rPr>
          <w:rFonts w:ascii="Arial" w:cs="Arial" w:eastAsia="Arial" w:hAnsi="Arial"/>
          <w:b/>
          <w:bCs/>
          <w:color w:val="1B3A5C"/>
          <w:sz w:val="36"/>
          <w:szCs w:val="36"/>
        </w:rPr>
        <w:t xml:space="preserve">Evaluation Criteria</w:t>
      </w:r>
    </w:p>
    <w:p>
      <w:pPr>
        <w:pBdr>
          <w:bottom w:val="single" w:color="2E86AB" w:sz="8" w:space="1"/>
        </w:pBdr>
        <w:spacing w:before="0" w:after="120"/>
      </w:pPr>
    </w:p>
    <w:p>
      <w:pPr>
        <w:spacing w:before="0" w:after="80"/>
      </w:pPr>
    </w:p>
    <w:p>
      <w:pPr>
        <w:spacing w:before="80" w:after="100"/>
      </w:pPr>
      <w:r>
        <w:rPr>
          <w:rFonts w:ascii="Arial" w:cs="Arial" w:eastAsia="Arial" w:hAnsi="Arial"/>
          <w:color w:val="2D2D2D"/>
          <w:sz w:val="22"/>
          <w:szCs w:val="22"/>
        </w:rPr>
        <w:t xml:space="preserve">Reviewers will evaluate each team's proposed architecture against the following dimensions. Note that a complete, consistent architecture that clearly articulates its trade-offs will score higher than an ambitious but internally inconsistent one.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Reviewers Look For</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Architecture Fitness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Does the architecture actually satisfy the stated functional and non-functional requirements? Are safety-critical latency constraints demonstrably achievable?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25%</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Trade-off Clarity</w:t>
            </w:r>
          </w:p>
        </w:tc>
        <w:tc>
          <w:tcPr>
            <w:tcW w:type="dxa" w:w="51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Are the five key tensions explicitly identified and resolved? Does the team articulate what they gave up to achieve their choices?</w:t>
            </w:r>
          </w:p>
        </w:tc>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Edge/Cloud Strategy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Is the edge compute architecture coherent? Does it handle offline operation, reconnection, and data reconciliation correctly?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20%</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Data Architecture</w:t>
            </w:r>
          </w:p>
        </w:tc>
        <w:tc>
          <w:tcPr>
            <w:tcW w:type="dxa" w:w="51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Are the data storage choices appropriate for the read/write profiles? Is the audit log design both correct and practical?</w:t>
            </w:r>
          </w:p>
        </w:tc>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Security &amp; Compliance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Are tenant isolation, data residency, and GDPR worker data concerns addressed with concrete mechanisms?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0"/>
                <w:szCs w:val="20"/>
              </w:rPr>
              <w:t xml:space="preserve">10%</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Operational Feasibility</w:t>
            </w:r>
          </w:p>
        </w:tc>
        <w:tc>
          <w:tcPr>
            <w:tcW w:type="dxa" w:w="516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Is the 48-hour site onboarding constraint achievable? Is zero-downtime deployment addressed?</w:t>
            </w:r>
          </w:p>
        </w:tc>
        <w:tc>
          <w:tcPr>
            <w:tcW w:type="dxa" w:w="18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color w:val="2D2D2D"/>
                <w:sz w:val="20"/>
                <w:szCs w:val="20"/>
              </w:rPr>
              <w:t xml:space="preserve">10%</w:t>
            </w:r>
          </w:p>
        </w:tc>
      </w:tr>
    </w:tbl>
    <w:p>
      <w:pPr>
        <w:spacing w:before="0" w:after="160"/>
      </w:pPr>
    </w:p>
    <w:p>
      <w:pPr>
        <w:pStyle w:val="Heading2"/>
        <w:spacing w:before="320" w:after="120"/>
      </w:pPr>
      <w:r>
        <w:rPr>
          <w:rFonts w:ascii="Arial" w:cs="Arial" w:eastAsia="Arial" w:hAnsi="Arial"/>
          <w:b/>
          <w:bCs/>
          <w:color w:val="2E86AB"/>
          <w:sz w:val="26"/>
          <w:szCs w:val="26"/>
        </w:rPr>
        <w:t xml:space="preserve">Deliverables Expected from Each Team</w:t>
      </w:r>
    </w:p>
    <w:p>
      <w:pPr>
        <w:pStyle w:val="ListParagraph"/>
        <w:numPr>
          <w:ilvl w:val="0"/>
          <w:numId w:val="2"/>
        </w:numPr>
        <w:spacing w:before="60" w:after="60"/>
      </w:pPr>
      <w:r>
        <w:rPr>
          <w:rFonts w:ascii="Arial" w:cs="Arial" w:eastAsia="Arial" w:hAnsi="Arial"/>
          <w:color w:val="2D2D2D"/>
          <w:sz w:val="22"/>
          <w:szCs w:val="22"/>
        </w:rPr>
        <w:t xml:space="preserve">A high-level architecture diagram showing the major system components, data flows, and deployment topology (edge vs. cloud boundaries clearly marked).</w:t>
      </w:r>
    </w:p>
    <w:p>
      <w:pPr>
        <w:pStyle w:val="ListParagraph"/>
        <w:numPr>
          <w:ilvl w:val="0"/>
          <w:numId w:val="2"/>
        </w:numPr>
        <w:spacing w:before="60" w:after="60"/>
      </w:pPr>
      <w:r>
        <w:rPr>
          <w:rFonts w:ascii="Arial" w:cs="Arial" w:eastAsia="Arial" w:hAnsi="Arial"/>
          <w:color w:val="2D2D2D"/>
          <w:sz w:val="22"/>
          <w:szCs w:val="22"/>
        </w:rPr>
        <w:t xml:space="preserve">A written or verbal narrative of at least 3 of the 5 key tensions and how they were resolved.</w:t>
      </w:r>
    </w:p>
    <w:p>
      <w:pPr>
        <w:pStyle w:val="ListParagraph"/>
        <w:numPr>
          <w:ilvl w:val="0"/>
          <w:numId w:val="2"/>
        </w:numPr>
        <w:spacing w:before="60" w:after="60"/>
      </w:pPr>
      <w:r>
        <w:rPr>
          <w:rFonts w:ascii="Arial" w:cs="Arial" w:eastAsia="Arial" w:hAnsi="Arial"/>
          <w:color w:val="2D2D2D"/>
          <w:sz w:val="22"/>
          <w:szCs w:val="22"/>
        </w:rPr>
        <w:t xml:space="preserve">An explicit statement of the most significant compromise made in the design and justification for why it was acceptable.</w:t>
      </w:r>
    </w:p>
    <w:p>
      <w:pPr>
        <w:pStyle w:val="ListParagraph"/>
        <w:numPr>
          <w:ilvl w:val="0"/>
          <w:numId w:val="2"/>
        </w:numPr>
        <w:spacing w:before="60" w:after="60"/>
      </w:pPr>
      <w:r>
        <w:rPr>
          <w:rFonts w:ascii="Arial" w:cs="Arial" w:eastAsia="Arial" w:hAnsi="Arial"/>
          <w:color w:val="2D2D2D"/>
          <w:sz w:val="22"/>
          <w:szCs w:val="22"/>
        </w:rPr>
        <w:t xml:space="preserve">A brief description of the technology choices for: IoT ingestion, digital twin state store, safety alert processing, and the 3D visualization serving layer.</w:t>
      </w:r>
    </w:p>
    <w:p>
      <w:pPr>
        <w:pStyle w:val="ListParagraph"/>
        <w:numPr>
          <w:ilvl w:val="0"/>
          <w:numId w:val="2"/>
        </w:numPr>
        <w:spacing w:before="60" w:after="60"/>
      </w:pPr>
      <w:r>
        <w:rPr>
          <w:rFonts w:ascii="Arial" w:cs="Arial" w:eastAsia="Arial" w:hAnsi="Arial"/>
          <w:color w:val="2D2D2D"/>
          <w:sz w:val="22"/>
          <w:szCs w:val="22"/>
        </w:rPr>
        <w:t xml:space="preserve">Optional: a sequence diagram or data flow showing how a worker-enters-exclusion-zone safety event travels from sensor to notification delivery.</w:t>
      </w:r>
    </w:p>
    <w:p>
      <w:pPr>
        <w:spacing w:before="0" w:after="160"/>
      </w:pPr>
    </w:p>
    <w:p>
      <w:r>
        <w:br w:type="page"/>
      </w:r>
    </w:p>
    <w:p>
      <w:pPr>
        <w:spacing w:before="360" w:after="80"/>
      </w:pPr>
      <w:r>
        <w:rPr>
          <w:rFonts w:ascii="Arial" w:cs="Arial" w:eastAsia="Arial" w:hAnsi="Arial"/>
          <w:b/>
          <w:bCs/>
          <w:color w:val="2E86AB"/>
          <w:spacing w:val="40"/>
          <w:sz w:val="18"/>
          <w:szCs w:val="18"/>
        </w:rPr>
        <w:t xml:space="preserve">SECTION 7</w:t>
      </w:r>
    </w:p>
    <w:p>
      <w:pPr>
        <w:pStyle w:val="Heading1"/>
        <w:spacing w:before="480" w:after="160"/>
      </w:pPr>
      <w:r>
        <w:rPr>
          <w:rFonts w:ascii="Arial" w:cs="Arial" w:eastAsia="Arial" w:hAnsi="Arial"/>
          <w:b/>
          <w:bCs/>
          <w:color w:val="1B3A5C"/>
          <w:sz w:val="36"/>
          <w:szCs w:val="36"/>
        </w:rPr>
        <w:t xml:space="preserve">Facilitator Notes</w:t>
      </w:r>
    </w:p>
    <w:p>
      <w:pPr>
        <w:pBdr>
          <w:bottom w:val="single" w:color="2E86AB" w:sz="8" w:space="1"/>
        </w:pBdr>
        <w:spacing w:before="0" w:after="120"/>
      </w:pPr>
    </w:p>
    <w:p>
      <w:pPr>
        <w:spacing w:before="0" w:after="80"/>
      </w:pPr>
    </w:p>
    <w:p>
      <w:pPr>
        <w:spacing w:before="80" w:after="100"/>
      </w:pPr>
      <w:r>
        <w:rPr>
          <w:rFonts w:ascii="Arial" w:cs="Arial" w:eastAsia="Arial" w:hAnsi="Arial"/>
          <w:color w:val="2D2D2D"/>
          <w:sz w:val="22"/>
          <w:szCs w:val="22"/>
        </w:rPr>
        <w:t xml:space="preserve">This section is intended for event facilitators only and should not be shared with participants before their design session.</w:t>
      </w:r>
    </w:p>
    <w:p>
      <w:pPr>
        <w:spacing w:before="0" w:after="80"/>
      </w:pPr>
    </w:p>
    <w:p>
      <w:pPr>
        <w:pStyle w:val="Heading2"/>
        <w:spacing w:before="320" w:after="120"/>
      </w:pPr>
      <w:r>
        <w:rPr>
          <w:rFonts w:ascii="Arial" w:cs="Arial" w:eastAsia="Arial" w:hAnsi="Arial"/>
          <w:b/>
          <w:bCs/>
          <w:color w:val="2E86AB"/>
          <w:sz w:val="26"/>
          <w:szCs w:val="26"/>
        </w:rPr>
        <w:t xml:space="preserve">Common Misconceptions to Watch For</w:t>
      </w:r>
    </w:p>
    <w:p>
      <w:pPr>
        <w:pStyle w:val="ListParagraph"/>
        <w:numPr>
          <w:ilvl w:val="0"/>
          <w:numId w:val="2"/>
        </w:numPr>
        <w:spacing w:before="60" w:after="60"/>
      </w:pPr>
      <w:r>
        <w:rPr>
          <w:rFonts w:ascii="Arial" w:cs="Arial" w:eastAsia="Arial" w:hAnsi="Arial"/>
          <w:b/>
          <w:bCs/>
          <w:color w:val="1B3A5C"/>
          <w:sz w:val="22"/>
          <w:szCs w:val="22"/>
        </w:rPr>
        <w:t xml:space="preserve">Treating connectivity as reliable:</w:t>
      </w:r>
      <w:r>
        <w:rPr>
          <w:rFonts w:ascii="Arial" w:cs="Arial" w:eastAsia="Arial" w:hAnsi="Arial"/>
          <w:color w:val="2D2D2D"/>
          <w:sz w:val="22"/>
          <w:szCs w:val="22"/>
        </w:rPr>
        <w:t xml:space="preserve"> Teams often design an entirely cloud-centric architecture and treat edge requirements as an add-on. Probe whether their safety alerting design genuinely survives a 45-minute outage.</w:t>
      </w:r>
    </w:p>
    <w:p>
      <w:pPr>
        <w:pStyle w:val="ListParagraph"/>
        <w:numPr>
          <w:ilvl w:val="0"/>
          <w:numId w:val="2"/>
        </w:numPr>
        <w:spacing w:before="60" w:after="60"/>
      </w:pPr>
      <w:r>
        <w:rPr>
          <w:rFonts w:ascii="Arial" w:cs="Arial" w:eastAsia="Arial" w:hAnsi="Arial"/>
          <w:b/>
          <w:bCs/>
          <w:color w:val="1B3A5C"/>
          <w:sz w:val="22"/>
          <w:szCs w:val="22"/>
        </w:rPr>
        <w:t xml:space="preserve">Under-scoping the BIM problem:</w:t>
      </w:r>
      <w:r>
        <w:rPr>
          <w:rFonts w:ascii="Arial" w:cs="Arial" w:eastAsia="Arial" w:hAnsi="Arial"/>
          <w:color w:val="2D2D2D"/>
          <w:sz w:val="22"/>
          <w:szCs w:val="22"/>
        </w:rPr>
        <w:t xml:space="preserve"> Teams frequently propose streaming full BIM models or ignoring the delta application problem entirely. Ask them to walk through what happens when a 90 GB model receives a change set.</w:t>
      </w:r>
    </w:p>
    <w:p>
      <w:pPr>
        <w:pStyle w:val="ListParagraph"/>
        <w:numPr>
          <w:ilvl w:val="0"/>
          <w:numId w:val="2"/>
        </w:numPr>
        <w:spacing w:before="60" w:after="60"/>
      </w:pPr>
      <w:r>
        <w:rPr>
          <w:rFonts w:ascii="Arial" w:cs="Arial" w:eastAsia="Arial" w:hAnsi="Arial"/>
          <w:b/>
          <w:bCs/>
          <w:color w:val="1B3A5C"/>
          <w:sz w:val="22"/>
          <w:szCs w:val="22"/>
        </w:rPr>
        <w:t xml:space="preserve">Conflating the audit log with a database:</w:t>
      </w:r>
      <w:r>
        <w:rPr>
          <w:rFonts w:ascii="Arial" w:cs="Arial" w:eastAsia="Arial" w:hAnsi="Arial"/>
          <w:color w:val="2D2D2D"/>
          <w:sz w:val="22"/>
          <w:szCs w:val="22"/>
        </w:rPr>
        <w:t xml:space="preserve"> A standard relational or NoSQL database does not provide tamper-evidence. Push teams to explain their actual tamper-evidence mechanism.</w:t>
      </w:r>
    </w:p>
    <w:p>
      <w:pPr>
        <w:pStyle w:val="ListParagraph"/>
        <w:numPr>
          <w:ilvl w:val="0"/>
          <w:numId w:val="2"/>
        </w:numPr>
        <w:spacing w:before="60" w:after="60"/>
      </w:pPr>
      <w:r>
        <w:rPr>
          <w:rFonts w:ascii="Arial" w:cs="Arial" w:eastAsia="Arial" w:hAnsi="Arial"/>
          <w:b/>
          <w:bCs/>
          <w:color w:val="1B3A5C"/>
          <w:sz w:val="22"/>
          <w:szCs w:val="22"/>
        </w:rPr>
        <w:t xml:space="preserve">Ignoring data residency:</w:t>
      </w:r>
      <w:r>
        <w:rPr>
          <w:rFonts w:ascii="Arial" w:cs="Arial" w:eastAsia="Arial" w:hAnsi="Arial"/>
          <w:color w:val="2D2D2D"/>
          <w:sz w:val="22"/>
          <w:szCs w:val="22"/>
        </w:rPr>
        <w:t xml:space="preserve"> The Germany/UAE data residency requirement is almost always forgotten. If unchallenged, probe: 'Your architecture has a single global data lake — how does that work for a site in Munich?'</w:t>
      </w:r>
    </w:p>
    <w:p>
      <w:pPr>
        <w:pStyle w:val="ListParagraph"/>
        <w:numPr>
          <w:ilvl w:val="0"/>
          <w:numId w:val="2"/>
        </w:numPr>
        <w:spacing w:before="60" w:after="60"/>
      </w:pPr>
      <w:r>
        <w:rPr>
          <w:rFonts w:ascii="Arial" w:cs="Arial" w:eastAsia="Arial" w:hAnsi="Arial"/>
          <w:b/>
          <w:bCs/>
          <w:color w:val="1B3A5C"/>
          <w:sz w:val="22"/>
          <w:szCs w:val="22"/>
        </w:rPr>
        <w:t xml:space="preserve">Alert duplication on reconnection:</w:t>
      </w:r>
      <w:r>
        <w:rPr>
          <w:rFonts w:ascii="Arial" w:cs="Arial" w:eastAsia="Arial" w:hAnsi="Arial"/>
          <w:color w:val="2D2D2D"/>
          <w:sz w:val="22"/>
          <w:szCs w:val="22"/>
        </w:rPr>
        <w:t xml:space="preserve"> A common failure mode. A site buffers 45 minutes of data. On reconnect, the cloud processes those events. If a safety threshold was breached, does it re-fire the alert? Teams must address idempotent alert processing.</w:t>
      </w:r>
    </w:p>
    <w:p>
      <w:pPr>
        <w:spacing w:before="0" w:after="160"/>
      </w:pPr>
    </w:p>
    <w:p>
      <w:pPr>
        <w:pStyle w:val="Heading2"/>
        <w:spacing w:before="320" w:after="120"/>
      </w:pPr>
      <w:r>
        <w:rPr>
          <w:rFonts w:ascii="Arial" w:cs="Arial" w:eastAsia="Arial" w:hAnsi="Arial"/>
          <w:b/>
          <w:bCs/>
          <w:color w:val="2E86AB"/>
          <w:sz w:val="26"/>
          <w:szCs w:val="26"/>
        </w:rPr>
        <w:t xml:space="preserve">Suggested Discussion Prompts</w:t>
      </w:r>
    </w:p>
    <w:p>
      <w:pPr>
        <w:spacing w:before="80" w:after="100"/>
      </w:pPr>
      <w:r>
        <w:rPr>
          <w:rFonts w:ascii="Arial" w:cs="Arial" w:eastAsia="Arial" w:hAnsi="Arial"/>
          <w:color w:val="2D2D2D"/>
          <w:sz w:val="22"/>
          <w:szCs w:val="22"/>
        </w:rPr>
        <w:t xml:space="preserve">Use these if groups get stuck or if the discussion needs to be pushed to deeper architectural reasoning:</w:t>
      </w:r>
    </w:p>
    <w:p>
      <w:pPr>
        <w:pStyle w:val="ListParagraph"/>
        <w:numPr>
          <w:ilvl w:val="0"/>
          <w:numId w:val="2"/>
        </w:numPr>
        <w:spacing w:before="60" w:after="60"/>
      </w:pPr>
      <w:r>
        <w:rPr>
          <w:rFonts w:ascii="Arial" w:cs="Arial" w:eastAsia="Arial" w:hAnsi="Arial"/>
          <w:color w:val="2D2D2D"/>
          <w:sz w:val="22"/>
          <w:szCs w:val="22"/>
        </w:rPr>
        <w:t xml:space="preserve">'Walk me through exactly what happens 30 seconds after a site loses its internet connection. What is the user experience for the site safety officer?'</w:t>
      </w:r>
    </w:p>
    <w:p>
      <w:pPr>
        <w:pStyle w:val="ListParagraph"/>
        <w:numPr>
          <w:ilvl w:val="0"/>
          <w:numId w:val="2"/>
        </w:numPr>
        <w:spacing w:before="60" w:after="60"/>
      </w:pPr>
      <w:r>
        <w:rPr>
          <w:rFonts w:ascii="Arial" w:cs="Arial" w:eastAsia="Arial" w:hAnsi="Arial"/>
          <w:color w:val="2D2D2D"/>
          <w:sz w:val="22"/>
          <w:szCs w:val="22"/>
        </w:rPr>
        <w:t xml:space="preserve">'Your BIM delta pipeline takes 12 minutes to process a large change set. What does the digital twin show during those 12 minutes — the old state or an inconsistent partial state?'</w:t>
      </w:r>
    </w:p>
    <w:p>
      <w:pPr>
        <w:pStyle w:val="ListParagraph"/>
        <w:numPr>
          <w:ilvl w:val="0"/>
          <w:numId w:val="2"/>
        </w:numPr>
        <w:spacing w:before="60" w:after="60"/>
      </w:pPr>
      <w:r>
        <w:rPr>
          <w:rFonts w:ascii="Arial" w:cs="Arial" w:eastAsia="Arial" w:hAnsi="Arial"/>
          <w:color w:val="2D2D2D"/>
          <w:sz w:val="22"/>
          <w:szCs w:val="22"/>
        </w:rPr>
        <w:t xml:space="preserve">'If a subcontractor queries the API for sensor data, and that sensor data includes a reading from an area of the site they don't have access to, what does your system return?'</w:t>
      </w:r>
    </w:p>
    <w:p>
      <w:pPr>
        <w:pStyle w:val="ListParagraph"/>
        <w:numPr>
          <w:ilvl w:val="0"/>
          <w:numId w:val="2"/>
        </w:numPr>
        <w:spacing w:before="60" w:after="60"/>
      </w:pPr>
      <w:r>
        <w:rPr>
          <w:rFonts w:ascii="Arial" w:cs="Arial" w:eastAsia="Arial" w:hAnsi="Arial"/>
          <w:color w:val="2D2D2D"/>
          <w:sz w:val="22"/>
          <w:szCs w:val="22"/>
        </w:rPr>
        <w:t xml:space="preserve">'How would you add a 341st site that is in Saudi Arabia, where you have no existing infrastructure?'</w:t>
      </w:r>
    </w:p>
    <w:p>
      <w:pPr>
        <w:pStyle w:val="ListParagraph"/>
        <w:numPr>
          <w:ilvl w:val="0"/>
          <w:numId w:val="2"/>
        </w:numPr>
        <w:spacing w:before="60" w:after="60"/>
      </w:pPr>
      <w:r>
        <w:rPr>
          <w:rFonts w:ascii="Arial" w:cs="Arial" w:eastAsia="Arial" w:hAnsi="Arial"/>
          <w:color w:val="2D2D2D"/>
          <w:sz w:val="22"/>
          <w:szCs w:val="22"/>
        </w:rPr>
        <w:t xml:space="preserve">'Your architecture uses a message bus for sensor events. What happens when the message bus is behind on processing during peak hours and a safety threshold is breached?'</w:t>
      </w:r>
    </w:p>
    <w:p>
      <w:pPr>
        <w:spacing w:before="0" w:after="160"/>
      </w:pPr>
    </w:p>
    <w:p>
      <w:pPr>
        <w:pStyle w:val="Heading2"/>
        <w:spacing w:before="320" w:after="120"/>
      </w:pPr>
      <w:r>
        <w:rPr>
          <w:rFonts w:ascii="Arial" w:cs="Arial" w:eastAsia="Arial" w:hAnsi="Arial"/>
          <w:b/>
          <w:bCs/>
          <w:color w:val="2E86AB"/>
          <w:sz w:val="26"/>
          <w:szCs w:val="26"/>
        </w:rPr>
        <w:t xml:space="preserve">Approximate Time Breakdown (90-Minute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0–10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Read the brief and ask clarifying questions of facilitator (no architectural design yet).</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10–25 min</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Identify the key components, constraints, and tensions. Sketch component boundaries on whiteboard.</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25–55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Deep design of the two or three most complex subsystems. Focus on data flows and failure modes.</w:t>
            </w:r>
          </w:p>
        </w:tc>
      </w:tr>
      <w:tr>
        <w:tc>
          <w:tcPr>
            <w:tcW w:type="dxa" w:w="3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55–75 min</w:t>
            </w:r>
          </w:p>
        </w:tc>
        <w:tc>
          <w:tcPr>
            <w:tcW w:type="dxa" w:w="6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Prepare presentation: finalize diagram, articulate trade-offs, identify what was left unresolved.</w:t>
            </w:r>
          </w:p>
        </w:tc>
      </w:tr>
      <w:tr>
        <w:tc>
          <w:tcPr>
            <w:tcW w:type="dxa" w:w="3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75–90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Group presentation and Q&amp;A from facilitators and other teams.</w:t>
            </w:r>
          </w:p>
        </w:tc>
      </w:tr>
    </w:tbl>
    <w:p>
      <w:pPr>
        <w:spacing w:before="0" w:after="160"/>
      </w:pPr>
    </w:p>
    <w:p>
      <w:r>
        <w:br w:type="page"/>
      </w:r>
    </w:p>
    <w:p>
      <w:pPr>
        <w:spacing w:before="360" w:after="80"/>
      </w:pPr>
      <w:r>
        <w:rPr>
          <w:rFonts w:ascii="Arial" w:cs="Arial" w:eastAsia="Arial" w:hAnsi="Arial"/>
          <w:b/>
          <w:bCs/>
          <w:color w:val="2E86AB"/>
          <w:spacing w:val="40"/>
          <w:sz w:val="18"/>
          <w:szCs w:val="18"/>
        </w:rPr>
        <w:t xml:space="preserve">SECTION 8</w:t>
      </w:r>
    </w:p>
    <w:p>
      <w:pPr>
        <w:pStyle w:val="Heading1"/>
        <w:spacing w:before="480" w:after="160"/>
      </w:pPr>
      <w:r>
        <w:rPr>
          <w:rFonts w:ascii="Arial" w:cs="Arial" w:eastAsia="Arial" w:hAnsi="Arial"/>
          <w:b/>
          <w:bCs/>
          <w:color w:val="1B3A5C"/>
          <w:sz w:val="36"/>
          <w:szCs w:val="36"/>
        </w:rPr>
        <w:t xml:space="preserve">Glossary</w:t>
      </w:r>
    </w:p>
    <w:p>
      <w:pPr>
        <w:pBdr>
          <w:bottom w:val="single" w:color="2E86AB" w:sz="8" w:space="1"/>
        </w:pBdr>
        <w:spacing w:before="0" w:after="12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BIM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Building Information Model — a 3D digital representation of a building or infrastructure asset containing geometry, materials, structural properties, and metadata.</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Digital Twin</w:t>
            </w:r>
          </w:p>
        </w:tc>
        <w:tc>
          <w:tcPr>
            <w:tcW w:type="dxa" w:w="7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A live virtual replica of a physical system that is continuously synchronized with real-world sensor data to reflect current physical state.</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IFC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Industry Foundation Classes — an open, neutral file format standard for BIM data interchange. Used as the standard exchange format between BIM authoring tools and SiteOS.</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NCR</w:t>
            </w:r>
          </w:p>
        </w:tc>
        <w:tc>
          <w:tcPr>
            <w:tcW w:type="dxa" w:w="7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Non-Conformance Report — a formal record of a condition on site that does not meet specified requirements. NCRs must be tracked through resolution.</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LAS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Log ASCII Standard — a file format used for storing point cloud data produced by LiDAR surveys or photogrammetric drone processing.</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Exclusion Zone</w:t>
            </w:r>
          </w:p>
        </w:tc>
        <w:tc>
          <w:tcPr>
            <w:tcW w:type="dxa" w:w="7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A designated area on a construction site where entry is restricted during specified operations (e.g., crane swing radius, blast zone, freshly poured concrete).</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Geofence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A virtual perimeter defined in GPS coordinates that, when breached by a tracked device, triggers a configurable event or alert.</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DXA</w:t>
            </w:r>
          </w:p>
        </w:tc>
        <w:tc>
          <w:tcPr>
            <w:tcW w:type="dxa" w:w="7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Document XML Attributes — a unit of measurement in Office Open XML documents. 1440 DXA = 1 inch. Used internally in this document's layout specification.</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CAN Bus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Controller Area Network Bus — a communication standard used in vehicle electronics to allow components like sensors and controllers to communicate without a host computer.</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CRDT</w:t>
            </w:r>
          </w:p>
        </w:tc>
        <w:tc>
          <w:tcPr>
            <w:tcW w:type="dxa" w:w="7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Conflict-free Replicated Data Type — a data structure that can be updated independently across nodes and always be merged into a consistent state without conflicts. Relevant for offline-first data sync design.</w:t>
            </w:r>
          </w:p>
        </w:tc>
      </w:tr>
      <w:tr>
        <w:tc>
          <w:tcPr>
            <w:tcW w:type="dxa" w:w="2000"/>
            <w:tcBorders>
              <w:top w:val="single" w:color="CCCCCC" w:sz="1"/>
              <w:left w:val="single" w:color="CCCCCC" w:sz="1"/>
              <w:bottom w:val="single" w:color="CCCCCC" w:sz="1"/>
              <w:right w:val="single" w:color="CCCCCC" w:sz="1"/>
            </w:tcBorders>
            <w:shd w:fill="EBF4F8" w:val="clear"/>
            <w:tcMar>
              <w:top w:type="dxa" w:w="80"/>
              <w:left w:type="dxa" w:w="140"/>
              <w:bottom w:type="dxa" w:w="80"/>
              <w:right w:type="dxa" w:w="140"/>
            </w:tcMar>
          </w:tcPr>
          <w:p>
            <w:r>
              <w:rPr>
                <w:rFonts w:ascii="Arial" w:cs="Arial" w:eastAsia="Arial" w:hAnsi="Arial"/>
                <w:b/>
                <w:bCs/>
                <w:color w:val="1B3A5C"/>
                <w:sz w:val="21"/>
                <w:szCs w:val="21"/>
              </w:rPr>
              <w:t xml:space="preserve">Point-in-Time Query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1"/>
                <w:szCs w:val="21"/>
              </w:rPr>
              <w:t xml:space="preserve">A database query that returns the state of a data set as it existed at a specific historical moment, rather than current state.</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b/>
                <w:bCs/>
                <w:color w:val="1B3A5C"/>
                <w:sz w:val="21"/>
                <w:szCs w:val="21"/>
              </w:rPr>
              <w:t xml:space="preserve">Tamper-Evidence</w:t>
            </w:r>
          </w:p>
        </w:tc>
        <w:tc>
          <w:tcPr>
            <w:tcW w:type="dxa" w:w="7360"/>
            <w:tcBorders>
              <w:top w:val="single" w:color="CCCCCC" w:sz="1"/>
              <w:left w:val="single" w:color="CCCCCC" w:sz="1"/>
              <w:bottom w:val="single" w:color="CCCCCC" w:sz="1"/>
              <w:right w:val="single" w:color="CCCCCC" w:sz="1"/>
            </w:tcBorders>
            <w:shd w:fill="F4F9FC" w:val="clear"/>
            <w:tcMar>
              <w:top w:type="dxa" w:w="80"/>
              <w:left w:type="dxa" w:w="140"/>
              <w:bottom w:type="dxa" w:w="80"/>
              <w:right w:type="dxa" w:w="140"/>
            </w:tcMar>
          </w:tcPr>
          <w:p>
            <w:r>
              <w:rPr>
                <w:rFonts w:ascii="Arial" w:cs="Arial" w:eastAsia="Arial" w:hAnsi="Arial"/>
                <w:color w:val="2D2D2D"/>
                <w:sz w:val="21"/>
                <w:szCs w:val="21"/>
              </w:rPr>
              <w:t xml:space="preserve">A property of a data store or log where any modification to historical records can be detected, typically via cryptographic hash chaining.</w:t>
            </w:r>
          </w:p>
        </w:tc>
      </w:tr>
    </w:tbl>
    <w:p>
      <w:pPr>
        <w:spacing w:before="0" w:after="160"/>
      </w:pPr>
    </w:p>
    <w:p>
      <w:pPr>
        <w:pBdr>
          <w:top w:val="single" w:color="2E86AB" w:sz="6" w:space="8"/>
        </w:pBdr>
        <w:spacing w:before="480" w:after="80"/>
        <w:jc w:val="center"/>
      </w:pPr>
      <w:r>
        <w:rPr>
          <w:rFonts w:ascii="Arial" w:cs="Arial" w:eastAsia="Arial" w:hAnsi="Arial"/>
          <w:i/>
          <w:iCs/>
          <w:color w:val="1B3A5C"/>
          <w:sz w:val="22"/>
          <w:szCs w:val="22"/>
        </w:rPr>
        <w:t xml:space="preserve">Good luck. Build something you'd trust on a live construction site.</w:t>
      </w:r>
    </w:p>
    <w:p>
      <w:pPr>
        <w:spacing w:before="0" w:after="0"/>
        <w:jc w:val="center"/>
      </w:pPr>
      <w:r>
        <w:rPr>
          <w:rFonts w:ascii="Arial" w:cs="Arial" w:eastAsia="Arial" w:hAnsi="Arial"/>
          <w:color w:val="2E86AB"/>
          <w:sz w:val="18"/>
          <w:szCs w:val="18"/>
        </w:rPr>
        <w:t xml:space="preserve">Architectural Kata Series · SiteOS · Case #6 · February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100" w:after="0"/>
    </w:pPr>
    <w:r>
      <w:rPr>
        <w:rFonts w:ascii="Arial" w:cs="Arial" w:eastAsia="Arial" w:hAnsi="Arial"/>
        <w:color w:val="CCCCCC"/>
        <w:sz w:val="16"/>
        <w:szCs w:val="16"/>
      </w:rPr>
      <w:t xml:space="preserve">Architectural Kata Series · Confidential</w:t>
    </w:r>
    <w:r>
      <w:rPr>
        <w:rFonts w:ascii="Arial" w:cs="Arial" w:eastAsia="Arial" w:hAnsi="Arial"/>
        <w:color w:val="CCCCCC"/>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spacing w:before="0" w:after="120"/>
    </w:pPr>
    <w:r>
      <w:rPr>
        <w:rFonts w:ascii="Arial" w:cs="Arial" w:eastAsia="Arial" w:hAnsi="Arial"/>
        <w:b/>
        <w:bCs/>
        <w:color w:val="2E86AB"/>
        <w:sz w:val="18"/>
        <w:szCs w:val="18"/>
      </w:rPr>
      <w:t xml:space="preserve">SiteOS — Architectural Kata  </w:t>
    </w:r>
    <w:r>
      <w:rPr>
        <w:rFonts w:ascii="Arial" w:cs="Arial" w:eastAsia="Arial" w:hAnsi="Arial"/>
        <w:color w:val="CCCCCC"/>
        <w:sz w:val="18"/>
        <w:szCs w:val="18"/>
      </w:rPr>
      <w:t xml:space="preserve">CASE #6 | ADVANCED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86A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2026-02-17T14:00:04.416Z</dcterms:created>
  <dcterms:modified xsi:type="dcterms:W3CDTF">2026-02-17T14:00:04.417Z</dcterms:modified>
</cp:coreProperties>
</file>

<file path=docProps/custom.xml><?xml version="1.0" encoding="utf-8"?>
<Properties xmlns="http://schemas.openxmlformats.org/officeDocument/2006/custom-properties" xmlns:vt="http://schemas.openxmlformats.org/officeDocument/2006/docPropsVTypes"/>
</file>