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Derivation of the Local Anisotropy Field</w:t>
      </w:r>
    </w:p>
    <w:p>
      <w:pPr>
        <w:pStyle w:val="Subtitle"/>
      </w:pPr>
      <w:r>
        <w:t xml:space="preserve">Method description for kriging interpolation</w:t>
      </w:r>
    </w:p>
    <w:p>
      <w:pPr>
        <w:pStyle w:val="Date"/>
      </w:pPr>
      <w:r>
        <w:t xml:space="preserve">14 July 2026</w:t>
      </w:r>
    </w:p>
    <w:bookmarkStart w:id="20" w:name="derivation-of-the-local-anisotropy-field"/>
    <w:p>
      <w:pPr>
        <w:pStyle w:val="Heading1"/>
      </w:pPr>
      <w:r>
        <w:t xml:space="preserve">Derivation of the local anisotropy field</w:t>
      </w:r>
    </w:p>
    <w:p>
      <w:pPr>
        <w:pStyle w:val="FirstParagraph"/>
      </w:pPr>
      <w:r>
        <w:t xml:space="preserve">A local anisotropy field (LAF) was derived to guide kriging interpolation in areas where elongated freshwater bodies are expected. These freshwater bodies are assumed to correspond to zones with relatively high resistivity. The analysis was performed separately for each model layer.</w:t>
      </w:r>
    </w:p>
    <w:p>
      <w:pPr>
        <w:pStyle w:val="BodyText"/>
      </w:pPr>
      <w:r>
        <w:t xml:space="preserve">The starting point is a gridded observation variable, for example the probability of low resistivity,</w:t>
      </w:r>
      <w:r>
        <w:t xml:space="preserve"> </w:t>
      </w:r>
      <m:oMath>
        <m:r>
          <m:t>P</m:t>
        </m:r>
        <m:r>
          <m:rPr>
            <m:sty m:val="p"/>
          </m:rPr>
          <m:t>(</m:t>
        </m:r>
        <m:r>
          <m:t>ρ</m:t>
        </m:r>
        <m:r>
          <m:rPr>
            <m:sty m:val="p"/>
          </m:rPr>
          <m:t>≤</m:t>
        </m:r>
        <m:r>
          <m:t>5</m:t>
        </m:r>
        <m:r>
          <m:rPr>
            <m:sty m:val="p"/>
          </m:rPr>
          <m:t>)</m:t>
        </m:r>
      </m:oMath>
      <w:r>
        <w:t xml:space="preserve">. A proxy for freshwater probability is defined as:</w:t>
      </w:r>
    </w:p>
    <w:p>
      <w:pPr>
        <w:pStyle w:val="BodyText"/>
      </w:pPr>
      <m:oMathPara>
        <m:oMathParaPr>
          <m:jc m:val="center"/>
        </m:oMathParaPr>
        <m:oMath>
          <m:sSub>
            <m:e>
              <m:r>
                <m:t>P</m:t>
              </m:r>
            </m:e>
            <m:sub>
              <m:r>
                <m:rPr>
                  <m:sty m:val="p"/>
                </m:rPr>
                <m:t>f</m:t>
              </m:r>
              <m:r>
                <m:rPr>
                  <m:sty m:val="p"/>
                </m:rPr>
                <m:t>r</m:t>
              </m:r>
              <m:r>
                <m:rPr>
                  <m:sty m:val="p"/>
                </m:rPr>
                <m:t>e</m:t>
              </m:r>
              <m:r>
                <m:rPr>
                  <m:sty m:val="p"/>
                </m:rPr>
                <m:t>s</m:t>
              </m:r>
              <m:r>
                <m:rPr>
                  <m:sty m:val="p"/>
                </m:rPr>
                <m:t>h</m:t>
              </m:r>
            </m:sub>
          </m:sSub>
          <m:r>
            <m:rPr>
              <m:sty m:val="p"/>
            </m:rPr>
            <m:t>=</m:t>
          </m:r>
          <m:r>
            <m:t>1</m:t>
          </m:r>
          <m:r>
            <m:rPr>
              <m:sty m:val="p"/>
            </m:rPr>
            <m:t>−</m:t>
          </m:r>
          <m:r>
            <m:t>P</m:t>
          </m:r>
          <m:r>
            <m:rPr>
              <m:sty m:val="p"/>
            </m:rPr>
            <m:t>(</m:t>
          </m:r>
          <m:r>
            <m:t>ρ</m:t>
          </m:r>
          <m:r>
            <m:rPr>
              <m:sty m:val="p"/>
            </m:rPr>
            <m:t>≤</m:t>
          </m:r>
          <m:r>
            <m:t>5</m:t>
          </m:r>
          <m:r>
            <m:rPr>
              <m:sty m:val="p"/>
            </m:rPr>
            <m:t>)</m:t>
          </m:r>
        </m:oMath>
      </m:oMathPara>
    </w:p>
    <w:p>
      <w:pPr>
        <w:pStyle w:val="FirstParagraph"/>
      </w:pPr>
      <w:r>
        <w:t xml:space="preserve">Grid cells with high freshwater probability are selected using a threshold:</w:t>
      </w:r>
    </w:p>
    <w:p>
      <w:pPr>
        <w:pStyle w:val="BodyText"/>
      </w:pPr>
      <m:oMathPara>
        <m:oMathParaPr>
          <m:jc m:val="center"/>
        </m:oMathParaPr>
        <m:oMath>
          <m:sSub>
            <m:e>
              <m:r>
                <m:t>P</m:t>
              </m:r>
            </m:e>
            <m:sub>
              <m:r>
                <m:rPr>
                  <m:sty m:val="p"/>
                </m:rPr>
                <m:t>f</m:t>
              </m:r>
              <m:r>
                <m:rPr>
                  <m:sty m:val="p"/>
                </m:rPr>
                <m:t>r</m:t>
              </m:r>
              <m:r>
                <m:rPr>
                  <m:sty m:val="p"/>
                </m:rPr>
                <m:t>e</m:t>
              </m:r>
              <m:r>
                <m:rPr>
                  <m:sty m:val="p"/>
                </m:rPr>
                <m:t>s</m:t>
              </m:r>
              <m:r>
                <m:rPr>
                  <m:sty m:val="p"/>
                </m:rPr>
                <m:t>h</m:t>
              </m:r>
            </m:sub>
          </m:sSub>
          <m:r>
            <m:rPr>
              <m:sty m:val="p"/>
            </m:rPr>
            <m:t>≥</m:t>
          </m:r>
          <m:sSub>
            <m:e>
              <m:r>
                <m:t>P</m:t>
              </m:r>
            </m:e>
            <m:sub>
              <m:r>
                <m:rPr>
                  <m:sty m:val="p"/>
                </m:rPr>
                <m:t>f</m:t>
              </m:r>
              <m:r>
                <m:rPr>
                  <m:sty m:val="p"/>
                </m:rPr>
                <m:t>r</m:t>
              </m:r>
              <m:r>
                <m:rPr>
                  <m:sty m:val="p"/>
                </m:rPr>
                <m:t>e</m:t>
              </m:r>
              <m:r>
                <m:rPr>
                  <m:sty m:val="p"/>
                </m:rPr>
                <m:t>s</m:t>
              </m:r>
              <m:r>
                <m:rPr>
                  <m:sty m:val="p"/>
                </m:rPr>
                <m:t>h</m:t>
              </m:r>
              <m:r>
                <m:rPr>
                  <m:sty m:val="p"/>
                </m:rPr>
                <m:t>,</m:t>
              </m:r>
              <m:r>
                <m:rPr>
                  <m:sty m:val="p"/>
                </m:rPr>
                <m:t>m</m:t>
              </m:r>
              <m:r>
                <m:rPr>
                  <m:sty m:val="p"/>
                </m:rPr>
                <m:t>i</m:t>
              </m:r>
              <m:r>
                <m:rPr>
                  <m:sty m:val="p"/>
                </m:rPr>
                <m:t>n</m:t>
              </m:r>
            </m:sub>
          </m:sSub>
        </m:oMath>
      </m:oMathPara>
    </w:p>
    <w:p>
      <w:pPr>
        <w:pStyle w:val="FirstParagraph"/>
      </w:pPr>
      <w:r>
        <w:t xml:space="preserve">These cells are interpreted as observed freshwater cells and are used to estimate the local orientation of freshwater bodies.</w:t>
      </w:r>
    </w:p>
    <w:bookmarkEnd w:id="20"/>
    <w:bookmarkStart w:id="21" w:name="local-pca-on-freshwater-cells"/>
    <w:p>
      <w:pPr>
        <w:pStyle w:val="Heading1"/>
      </w:pPr>
      <w:r>
        <w:t xml:space="preserve">Local PCA on freshwater cells</w:t>
      </w:r>
    </w:p>
    <w:p>
      <w:pPr>
        <w:pStyle w:val="FirstParagraph"/>
      </w:pPr>
      <w:r>
        <w:t xml:space="preserve">For each freshwater target cell, neighbouring freshwater cells within a search radius</w:t>
      </w:r>
      <w:r>
        <w:t xml:space="preserve"> </w:t>
      </w:r>
      <m:oMath>
        <m:r>
          <m:t>r</m:t>
        </m:r>
      </m:oMath>
      <w:r>
        <w:t xml:space="preserve"> </w:t>
      </w:r>
      <w:r>
        <w:t xml:space="preserve">are selected. If the number of selected cells is smaller than a minimum value</w:t>
      </w:r>
      <w:r>
        <w:t xml:space="preserve"> </w:t>
      </w:r>
      <m:oMath>
        <m:sSub>
          <m:e>
            <m:r>
              <m:t>n</m:t>
            </m:r>
          </m:e>
          <m:sub>
            <m:r>
              <m:rPr>
                <m:sty m:val="p"/>
              </m:rPr>
              <m:t>m</m:t>
            </m:r>
            <m:r>
              <m:rPr>
                <m:sty m:val="p"/>
              </m:rPr>
              <m:t>i</m:t>
            </m:r>
            <m:r>
              <m:rPr>
                <m:sty m:val="p"/>
              </m:rPr>
              <m:t>n</m:t>
            </m:r>
          </m:sub>
        </m:sSub>
      </m:oMath>
      <w:r>
        <w:t xml:space="preserve">, no local anisotropy direction is estimated for that target cell.</w:t>
      </w:r>
    </w:p>
    <w:p>
      <w:pPr>
        <w:pStyle w:val="BodyText"/>
      </w:pPr>
      <w:r>
        <w:t xml:space="preserve">A weighted principal component analysis (PCA) is then applied to the coordinates of the selected freshwater cells. The weights are given by the freshwater probability:</w:t>
      </w:r>
    </w:p>
    <w:p>
      <w:pPr>
        <w:pStyle w:val="BodyText"/>
      </w:pPr>
      <m:oMathPara>
        <m:oMathParaPr>
          <m:jc m:val="center"/>
        </m:oMathParaPr>
        <m:oMath>
          <m:sSub>
            <m:e>
              <m:r>
                <m:t>w</m:t>
              </m:r>
            </m:e>
            <m:sub>
              <m:r>
                <m:t>i</m:t>
              </m:r>
            </m:sub>
          </m:sSub>
          <m:r>
            <m:rPr>
              <m:sty m:val="p"/>
            </m:rPr>
            <m:t>=</m:t>
          </m:r>
          <m:sSub>
            <m:e>
              <m:r>
                <m:t>P</m:t>
              </m:r>
            </m:e>
            <m:sub>
              <m:r>
                <m:rPr>
                  <m:sty m:val="p"/>
                </m:rPr>
                <m:t>f</m:t>
              </m:r>
              <m:r>
                <m:rPr>
                  <m:sty m:val="p"/>
                </m:rPr>
                <m:t>r</m:t>
              </m:r>
              <m:r>
                <m:rPr>
                  <m:sty m:val="p"/>
                </m:rPr>
                <m:t>e</m:t>
              </m:r>
              <m:r>
                <m:rPr>
                  <m:sty m:val="p"/>
                </m:rPr>
                <m:t>s</m:t>
              </m:r>
              <m:r>
                <m:rPr>
                  <m:sty m:val="p"/>
                </m:rPr>
                <m:t>h</m:t>
              </m:r>
              <m:r>
                <m:rPr>
                  <m:sty m:val="p"/>
                </m:rPr>
                <m:t>,</m:t>
              </m:r>
              <m:r>
                <m:t>i</m:t>
              </m:r>
            </m:sub>
          </m:sSub>
        </m:oMath>
      </m:oMathPara>
    </w:p>
    <w:p>
      <w:pPr>
        <w:pStyle w:val="FirstParagraph"/>
      </w:pPr>
      <w:r>
        <w:t xml:space="preserve">The weighted mean coordinate is:</w:t>
      </w:r>
    </w:p>
    <w:p>
      <w:pPr>
        <w:pStyle w:val="BodyText"/>
      </w:pPr>
      <m:oMathPara>
        <m:oMathParaPr>
          <m:jc m:val="center"/>
        </m:oMathParaPr>
        <m:oMath>
          <m:acc>
            <m:accPr>
              <m:chr m:val="‾"/>
            </m:accPr>
            <m:e>
              <m:r>
                <m:rPr>
                  <m:sty m:val="b"/>
                </m:rPr>
                <m:t>x</m:t>
              </m:r>
            </m:e>
          </m:acc>
          <m:r>
            <m:rPr>
              <m:sty m:val="p"/>
            </m:rPr>
            <m:t>=</m:t>
          </m:r>
          <m:f>
            <m:fPr>
              <m:type m:val="bar"/>
            </m:fPr>
            <m:num>
              <m:nary>
                <m:naryPr>
                  <m:chr m:val="∑"/>
                  <m:limLoc m:val="undOvr"/>
                  <m:subHide m:val="off"/>
                  <m:supHide m:val="on"/>
                </m:naryPr>
                <m:sub>
                  <m:r>
                    <m:t>i</m:t>
                  </m:r>
                </m:sub>
                <m:sup>
                  <m:r>
                    <m:t>​</m:t>
                  </m:r>
                </m:sup>
                <m:e>
                  <m:sSub>
                    <m:e>
                      <m:r>
                        <m:t>w</m:t>
                      </m:r>
                    </m:e>
                    <m:sub>
                      <m:r>
                        <m:t>i</m:t>
                      </m:r>
                    </m:sub>
                  </m:sSub>
                </m:e>
              </m:nary>
              <m:sSub>
                <m:e>
                  <m:r>
                    <m:rPr>
                      <m:sty m:val="b"/>
                    </m:rPr>
                    <m:t>x</m:t>
                  </m:r>
                </m:e>
                <m:sub>
                  <m:r>
                    <m:t>i</m:t>
                  </m:r>
                </m:sub>
              </m:sSub>
            </m:num>
            <m:den>
              <m:nary>
                <m:naryPr>
                  <m:chr m:val="∑"/>
                  <m:limLoc m:val="undOvr"/>
                  <m:subHide m:val="off"/>
                  <m:supHide m:val="on"/>
                </m:naryPr>
                <m:sub>
                  <m:r>
                    <m:t>i</m:t>
                  </m:r>
                </m:sub>
                <m:sup>
                  <m:r>
                    <m:t>​</m:t>
                  </m:r>
                </m:sup>
                <m:e>
                  <m:sSub>
                    <m:e>
                      <m:r>
                        <m:t>w</m:t>
                      </m:r>
                    </m:e>
                    <m:sub>
                      <m:r>
                        <m:t>i</m:t>
                      </m:r>
                    </m:sub>
                  </m:sSub>
                </m:e>
              </m:nary>
            </m:den>
          </m:f>
        </m:oMath>
      </m:oMathPara>
    </w:p>
    <w:p>
      <w:pPr>
        <w:pStyle w:val="FirstParagraph"/>
      </w:pPr>
      <w:r>
        <w:t xml:space="preserve">and the weighted covariance matrix is:</w:t>
      </w:r>
    </w:p>
    <w:p>
      <w:pPr>
        <w:pStyle w:val="BodyText"/>
      </w:pPr>
      <m:oMathPara>
        <m:oMathParaPr>
          <m:jc m:val="center"/>
        </m:oMathParaPr>
        <m:oMath>
          <m:r>
            <m:rPr>
              <m:sty m:val="b"/>
            </m:rPr>
            <m:t>C</m:t>
          </m:r>
          <m:r>
            <m:rPr>
              <m:sty m:val="p"/>
            </m:rPr>
            <m:t>=</m:t>
          </m:r>
          <m:f>
            <m:fPr>
              <m:type m:val="bar"/>
            </m:fPr>
            <m:num>
              <m:r>
                <m:t>1</m:t>
              </m:r>
            </m:num>
            <m:den>
              <m:nary>
                <m:naryPr>
                  <m:chr m:val="∑"/>
                  <m:limLoc m:val="undOvr"/>
                  <m:subHide m:val="off"/>
                  <m:supHide m:val="on"/>
                </m:naryPr>
                <m:sub>
                  <m:r>
                    <m:t>i</m:t>
                  </m:r>
                </m:sub>
                <m:sup>
                  <m:r>
                    <m:t>​</m:t>
                  </m:r>
                </m:sup>
                <m:e>
                  <m:sSub>
                    <m:e>
                      <m:r>
                        <m:t>w</m:t>
                      </m:r>
                    </m:e>
                    <m:sub>
                      <m:r>
                        <m:t>i</m:t>
                      </m:r>
                    </m:sub>
                  </m:sSub>
                </m:e>
              </m:nary>
            </m:den>
          </m:f>
          <m:nary>
            <m:naryPr>
              <m:chr m:val="∑"/>
              <m:limLoc m:val="undOvr"/>
              <m:subHide m:val="off"/>
              <m:supHide m:val="on"/>
            </m:naryPr>
            <m:sub>
              <m:r>
                <m:t>i</m:t>
              </m:r>
            </m:sub>
            <m:sup>
              <m:r>
                <m:t>​</m:t>
              </m:r>
            </m:sup>
            <m:e>
              <m:sSub>
                <m:e>
                  <m:r>
                    <m:t>w</m:t>
                  </m:r>
                </m:e>
                <m:sub>
                  <m:r>
                    <m:t>i</m:t>
                  </m:r>
                </m:sub>
              </m:sSub>
            </m:e>
          </m:nary>
          <m:r>
            <m:rPr>
              <m:sty m:val="p"/>
            </m:rPr>
            <m:t>(</m:t>
          </m:r>
          <m:sSub>
            <m:e>
              <m:r>
                <m:rPr>
                  <m:sty m:val="b"/>
                </m:rPr>
                <m:t>x</m:t>
              </m:r>
            </m:e>
            <m:sub>
              <m:r>
                <m:t>i</m:t>
              </m:r>
            </m:sub>
          </m:sSub>
          <m:r>
            <m:rPr>
              <m:sty m:val="p"/>
            </m:rPr>
            <m:t>−</m:t>
          </m:r>
          <m:acc>
            <m:accPr>
              <m:chr m:val="‾"/>
            </m:accPr>
            <m:e>
              <m:r>
                <m:rPr>
                  <m:sty m:val="b"/>
                </m:rPr>
                <m:t>x</m:t>
              </m:r>
            </m:e>
          </m:acc>
          <m:r>
            <m:rPr>
              <m:sty m:val="p"/>
            </m:rPr>
            <m:t>)</m:t>
          </m:r>
          <m:r>
            <m:rPr>
              <m:sty m:val="p"/>
            </m:rPr>
            <m:t>(</m:t>
          </m:r>
          <m:sSub>
            <m:e>
              <m:r>
                <m:rPr>
                  <m:sty m:val="b"/>
                </m:rPr>
                <m:t>x</m:t>
              </m:r>
            </m:e>
            <m:sub>
              <m:r>
                <m:t>i</m:t>
              </m:r>
            </m:sub>
          </m:sSub>
          <m:r>
            <m:rPr>
              <m:sty m:val="p"/>
            </m:rPr>
            <m:t>−</m:t>
          </m:r>
          <m:acc>
            <m:accPr>
              <m:chr m:val="‾"/>
            </m:accPr>
            <m:e>
              <m:r>
                <m:rPr>
                  <m:sty m:val="b"/>
                </m:rPr>
                <m:t>x</m:t>
              </m:r>
            </m:e>
          </m:acc>
          <m:sSup>
            <m:e>
              <m:r>
                <m:rPr>
                  <m:sty m:val="p"/>
                </m:rPr>
                <m:t>)</m:t>
              </m:r>
            </m:e>
            <m:sup>
              <m:r>
                <m:t>T</m:t>
              </m:r>
            </m:sup>
          </m:sSup>
        </m:oMath>
      </m:oMathPara>
    </w:p>
    <w:p>
      <w:pPr>
        <w:pStyle w:val="FirstParagraph"/>
      </w:pPr>
      <w:r>
        <w:t xml:space="preserve">The eigenvalue decomposition of this covariance matrix is:</w:t>
      </w:r>
    </w:p>
    <w:p>
      <w:pPr>
        <w:pStyle w:val="BodyText"/>
      </w:pPr>
      <m:oMathPara>
        <m:oMathParaPr>
          <m:jc m:val="center"/>
        </m:oMathParaPr>
        <m:oMath>
          <m:r>
            <m:rPr>
              <m:sty m:val="b"/>
            </m:rPr>
            <m:t>C</m:t>
          </m:r>
          <m:sSub>
            <m:e>
              <m:r>
                <m:rPr>
                  <m:sty m:val="b"/>
                </m:rPr>
                <m:t>v</m:t>
              </m:r>
            </m:e>
            <m:sub>
              <m:r>
                <m:t>j</m:t>
              </m:r>
            </m:sub>
          </m:sSub>
          <m:r>
            <m:rPr>
              <m:sty m:val="p"/>
            </m:rPr>
            <m:t>=</m:t>
          </m:r>
          <m:sSub>
            <m:e>
              <m:r>
                <m:t>λ</m:t>
              </m:r>
            </m:e>
            <m:sub>
              <m:r>
                <m:t>j</m:t>
              </m:r>
            </m:sub>
          </m:sSub>
          <m:sSub>
            <m:e>
              <m:r>
                <m:rPr>
                  <m:sty m:val="b"/>
                </m:rPr>
                <m:t>v</m:t>
              </m:r>
            </m:e>
            <m:sub>
              <m:r>
                <m:t>j</m:t>
              </m:r>
            </m:sub>
          </m:sSub>
        </m:oMath>
      </m:oMathPara>
    </w:p>
    <w:p>
      <w:pPr>
        <w:pStyle w:val="FirstParagraph"/>
      </w:pPr>
      <w:r>
        <w:t xml:space="preserve">with:</w:t>
      </w:r>
    </w:p>
    <w:p>
      <w:pPr>
        <w:pStyle w:val="BodyText"/>
      </w:pPr>
      <m:oMathPara>
        <m:oMathParaPr>
          <m:jc m:val="center"/>
        </m:oMathParaPr>
        <m:oMath>
          <m:sSub>
            <m:e>
              <m:r>
                <m:t>λ</m:t>
              </m:r>
            </m:e>
            <m:sub>
              <m:r>
                <m:t>1</m:t>
              </m:r>
            </m:sub>
          </m:sSub>
          <m:r>
            <m:rPr>
              <m:sty m:val="p"/>
            </m:rPr>
            <m:t>≥</m:t>
          </m:r>
          <m:sSub>
            <m:e>
              <m:r>
                <m:t>λ</m:t>
              </m:r>
            </m:e>
            <m:sub>
              <m:r>
                <m:t>2</m:t>
              </m:r>
            </m:sub>
          </m:sSub>
        </m:oMath>
      </m:oMathPara>
    </w:p>
    <w:p>
      <w:pPr>
        <w:pStyle w:val="FirstParagraph"/>
      </w:pPr>
      <w:r>
        <w:t xml:space="preserve">The first eigenvector,</w:t>
      </w:r>
      <w:r>
        <w:t xml:space="preserve"> </w:t>
      </w:r>
      <m:oMath>
        <m:sSub>
          <m:e>
            <m:r>
              <m:rPr>
                <m:sty m:val="b"/>
              </m:rPr>
              <m:t>v</m:t>
            </m:r>
          </m:e>
          <m:sub>
            <m:r>
              <m:t>1</m:t>
            </m:r>
          </m:sub>
        </m:sSub>
      </m:oMath>
      <w:r>
        <w:t xml:space="preserve">, represents the direction of maximum spatial continuity of the local freshwater body. This direction is used as the local major anisotropy direction.</w:t>
      </w:r>
    </w:p>
    <w:p>
      <w:pPr>
        <w:pStyle w:val="BodyText"/>
      </w:pPr>
      <w:r>
        <w:t xml:space="preserve">The corresponding angle is computed as:</w:t>
      </w:r>
    </w:p>
    <w:p>
      <w:pPr>
        <w:pStyle w:val="BodyText"/>
      </w:pPr>
      <m:oMathPara>
        <m:oMathParaPr>
          <m:jc m:val="center"/>
        </m:oMathParaPr>
        <m:oMath>
          <m:sSub>
            <m:e>
              <m:r>
                <m:t>θ</m:t>
              </m:r>
            </m:e>
            <m:sub>
              <m:r>
                <m:rPr>
                  <m:sty m:val="p"/>
                </m:rPr>
                <m:t>f</m:t>
              </m:r>
              <m:r>
                <m:rPr>
                  <m:sty m:val="p"/>
                </m:rPr>
                <m:t>r</m:t>
              </m:r>
              <m:r>
                <m:rPr>
                  <m:sty m:val="p"/>
                </m:rPr>
                <m:t>e</m:t>
              </m:r>
              <m:r>
                <m:rPr>
                  <m:sty m:val="p"/>
                </m:rPr>
                <m:t>s</m:t>
              </m:r>
              <m:r>
                <m:rPr>
                  <m:sty m:val="p"/>
                </m:rPr>
                <m:t>h</m:t>
              </m:r>
            </m:sub>
          </m:sSub>
          <m:r>
            <m:rPr>
              <m:sty m:val="p"/>
            </m:rPr>
            <m:t>=</m:t>
          </m:r>
          <m:r>
            <m:rPr>
              <m:sty m:val="p"/>
            </m:rPr>
            <m:t>atan2</m:t>
          </m:r>
          <m:r>
            <m:rPr>
              <m:sty m:val="p"/>
            </m:rPr>
            <m:t>(</m:t>
          </m:r>
          <m:sSub>
            <m:e>
              <m:r>
                <m:t>v</m:t>
              </m:r>
            </m:e>
            <m:sub>
              <m:r>
                <m:t>1</m:t>
              </m:r>
              <m:r>
                <m:rPr>
                  <m:sty m:val="p"/>
                </m:rPr>
                <m:t>,</m:t>
              </m:r>
              <m:r>
                <m:t>y</m:t>
              </m:r>
            </m:sub>
          </m:sSub>
          <m:r>
            <m:rPr>
              <m:sty m:val="p"/>
            </m:rPr>
            <m:t>,</m:t>
          </m:r>
          <m:sSub>
            <m:e>
              <m:r>
                <m:t>v</m:t>
              </m:r>
            </m:e>
            <m:sub>
              <m:r>
                <m:t>1</m:t>
              </m:r>
              <m:r>
                <m:rPr>
                  <m:sty m:val="p"/>
                </m:rPr>
                <m:t>,</m:t>
              </m:r>
              <m:r>
                <m:t>x</m:t>
              </m:r>
            </m:sub>
          </m:sSub>
          <m:r>
            <m:rPr>
              <m:sty m:val="p"/>
            </m:rPr>
            <m:t>)</m:t>
          </m:r>
        </m:oMath>
      </m:oMathPara>
    </w:p>
    <w:p>
      <w:pPr>
        <w:pStyle w:val="FirstParagraph"/>
      </w:pPr>
      <w:r>
        <w:t xml:space="preserve">The angle is measured counter-clockwise from the positive</w:t>
      </w:r>
      <w:r>
        <w:t xml:space="preserve"> </w:t>
      </w:r>
      <m:oMath>
        <m:r>
          <m:t>x</m:t>
        </m:r>
      </m:oMath>
      <w:r>
        <w:t xml:space="preserve">-axis. Because anisotropy is axial rather than directional, the following equivalence applies:</w:t>
      </w:r>
    </w:p>
    <w:p>
      <w:pPr>
        <w:pStyle w:val="BodyText"/>
      </w:pPr>
      <m:oMathPara>
        <m:oMathParaPr>
          <m:jc m:val="center"/>
        </m:oMathParaPr>
        <m:oMath>
          <m:r>
            <m:t>θ</m:t>
          </m:r>
          <m:r>
            <m:rPr>
              <m:sty m:val="p"/>
            </m:rPr>
            <m:t>≡</m:t>
          </m:r>
          <m:r>
            <m:t>θ</m:t>
          </m:r>
          <m:r>
            <m:rPr>
              <m:sty m:val="p"/>
            </m:rPr>
            <m:t>+</m:t>
          </m:r>
          <m:sSup>
            <m:e>
              <m:r>
                <m:t>180</m:t>
              </m:r>
            </m:e>
            <m:sup>
              <m:r>
                <m:rPr>
                  <m:sty m:val="p"/>
                </m:rPr>
                <m:t>∘</m:t>
              </m:r>
            </m:sup>
          </m:sSup>
        </m:oMath>
      </m:oMathPara>
    </w:p>
    <w:p>
      <w:pPr>
        <w:pStyle w:val="FirstParagraph"/>
      </w:pPr>
      <w:r>
        <w:t xml:space="preserve">Therefore, all angles are stored modulo</w:t>
      </w:r>
      <w:r>
        <w:t xml:space="preserve"> </w:t>
      </w:r>
      <m:oMath>
        <m:sSup>
          <m:e>
            <m:r>
              <m:t>180</m:t>
            </m:r>
          </m:e>
          <m:sup>
            <m:r>
              <m:rPr>
                <m:sty m:val="p"/>
              </m:rPr>
              <m:t>∘</m:t>
            </m:r>
          </m:sup>
        </m:sSup>
      </m:oMath>
      <w:r>
        <w:t xml:space="preserve">.</w:t>
      </w:r>
    </w:p>
    <w:p>
      <w:pPr>
        <w:pStyle w:val="BodyText"/>
      </w:pPr>
      <w:r>
        <w:t xml:space="preserve">The local elongation of the freshwater cells is quantified by the eigenvalue ratio:</w:t>
      </w:r>
    </w:p>
    <w:p>
      <w:pPr>
        <w:pStyle w:val="BodyText"/>
      </w:pPr>
      <m:oMathPara>
        <m:oMathParaPr>
          <m:jc m:val="center"/>
        </m:oMathParaPr>
        <m:oMath>
          <m:sSub>
            <m:e>
              <m:r>
                <m:t>R</m:t>
              </m:r>
            </m:e>
            <m:sub>
              <m:r>
                <m:t>λ</m:t>
              </m:r>
            </m:sub>
          </m:sSub>
          <m:r>
            <m:rPr>
              <m:sty m:val="p"/>
            </m:rPr>
            <m:t>=</m:t>
          </m:r>
          <m:f>
            <m:fPr>
              <m:type m:val="bar"/>
            </m:fPr>
            <m:num>
              <m:sSub>
                <m:e>
                  <m:r>
                    <m:t>λ</m:t>
                  </m:r>
                </m:e>
                <m:sub>
                  <m:r>
                    <m:t>1</m:t>
                  </m:r>
                </m:sub>
              </m:sSub>
            </m:num>
            <m:den>
              <m:sSub>
                <m:e>
                  <m:r>
                    <m:t>λ</m:t>
                  </m:r>
                </m:e>
                <m:sub>
                  <m:r>
                    <m:t>2</m:t>
                  </m:r>
                </m:sub>
              </m:sSub>
            </m:den>
          </m:f>
        </m:oMath>
      </m:oMathPara>
    </w:p>
    <w:p>
      <w:pPr>
        <w:pStyle w:val="FirstParagraph"/>
      </w:pPr>
      <w:r>
        <w:t xml:space="preserve">Only PCA results with:</w:t>
      </w:r>
    </w:p>
    <w:p>
      <w:pPr>
        <w:pStyle w:val="BodyText"/>
      </w:pPr>
      <m:oMathPara>
        <m:oMathParaPr>
          <m:jc m:val="center"/>
        </m:oMathParaPr>
        <m:oMath>
          <m:sSub>
            <m:e>
              <m:r>
                <m:t>R</m:t>
              </m:r>
            </m:e>
            <m:sub>
              <m:r>
                <m:t>λ</m:t>
              </m:r>
            </m:sub>
          </m:sSub>
          <m:r>
            <m:rPr>
              <m:sty m:val="p"/>
            </m:rPr>
            <m:t>≥</m:t>
          </m:r>
          <m:sSub>
            <m:e>
              <m:r>
                <m:t>R</m:t>
              </m:r>
            </m:e>
            <m:sub>
              <m:r>
                <m:t>λ</m:t>
              </m:r>
              <m:r>
                <m:rPr>
                  <m:sty m:val="p"/>
                </m:rPr>
                <m:t>,</m:t>
              </m:r>
              <m:r>
                <m:rPr>
                  <m:sty m:val="p"/>
                </m:rPr>
                <m:t>min</m:t>
              </m:r>
            </m:sub>
          </m:sSub>
        </m:oMath>
      </m:oMathPara>
    </w:p>
    <w:p>
      <w:pPr>
        <w:pStyle w:val="FirstParagraph"/>
      </w:pPr>
      <w:r>
        <w:t xml:space="preserve">are accepted. This prevents assigning anisotropy directions in areas where the local freshwater-cell geometry is nearly isotropic or poorly defined.</w:t>
      </w:r>
    </w:p>
    <w:bookmarkEnd w:id="21"/>
    <w:bookmarkStart w:id="22" w:name="filtering-against-data-support-geometry"/>
    <w:p>
      <w:pPr>
        <w:pStyle w:val="Heading1"/>
      </w:pPr>
      <w:r>
        <w:t xml:space="preserve">Filtering against data-support geometry</w:t>
      </w:r>
    </w:p>
    <w:p>
      <w:pPr>
        <w:pStyle w:val="FirstParagraph"/>
      </w:pPr>
      <w:r>
        <w:t xml:space="preserve">AEM data are acquired along flightlines, which can introduce a strong sampling geometry. A local PCA may therefore capture the direction of the data support rather than the true geological orientation of a freshwater body.</w:t>
      </w:r>
    </w:p>
    <w:p>
      <w:pPr>
        <w:pStyle w:val="BodyText"/>
      </w:pPr>
      <w:r>
        <w:t xml:space="preserve">To reduce this effect, a second PCA is performed within the same search radius, but using all valid data cells instead of only freshwater cells. This gives a local data-support direction:</w:t>
      </w:r>
    </w:p>
    <w:p>
      <w:pPr>
        <w:pStyle w:val="BodyText"/>
      </w:pPr>
      <m:oMathPara>
        <m:oMathParaPr>
          <m:jc m:val="center"/>
        </m:oMathParaPr>
        <m:oMath>
          <m:sSub>
            <m:e>
              <m:r>
                <m:t>θ</m:t>
              </m:r>
            </m:e>
            <m:sub>
              <m:r>
                <m:rPr>
                  <m:sty m:val="p"/>
                </m:rPr>
                <m:t>d</m:t>
              </m:r>
              <m:r>
                <m:rPr>
                  <m:sty m:val="p"/>
                </m:rPr>
                <m:t>a</m:t>
              </m:r>
              <m:r>
                <m:rPr>
                  <m:sty m:val="p"/>
                </m:rPr>
                <m:t>t</m:t>
              </m:r>
              <m:r>
                <m:rPr>
                  <m:sty m:val="p"/>
                </m:rPr>
                <m:t>a</m:t>
              </m:r>
            </m:sub>
          </m:sSub>
        </m:oMath>
      </m:oMathPara>
    </w:p>
    <w:p>
      <w:pPr>
        <w:pStyle w:val="FirstParagraph"/>
      </w:pPr>
      <w:r>
        <w:t xml:space="preserve">and a corresponding data-geometry eigenvalue ratio:</w:t>
      </w:r>
    </w:p>
    <w:p>
      <w:pPr>
        <w:pStyle w:val="BodyText"/>
      </w:pPr>
      <m:oMathPara>
        <m:oMathParaPr>
          <m:jc m:val="center"/>
        </m:oMathParaPr>
        <m:oMath>
          <m:sSub>
            <m:e>
              <m:r>
                <m:t>R</m:t>
              </m:r>
            </m:e>
            <m:sub>
              <m:r>
                <m:t>λ</m:t>
              </m:r>
              <m:r>
                <m:rPr>
                  <m:sty m:val="p"/>
                </m:rPr>
                <m:t>,</m:t>
              </m:r>
              <m:r>
                <m:rPr>
                  <m:sty m:val="p"/>
                </m:rPr>
                <m:t>d</m:t>
              </m:r>
              <m:r>
                <m:rPr>
                  <m:sty m:val="p"/>
                </m:rPr>
                <m:t>a</m:t>
              </m:r>
              <m:r>
                <m:rPr>
                  <m:sty m:val="p"/>
                </m:rPr>
                <m:t>t</m:t>
              </m:r>
              <m:r>
                <m:rPr>
                  <m:sty m:val="p"/>
                </m:rPr>
                <m:t>a</m:t>
              </m:r>
            </m:sub>
          </m:sSub>
        </m:oMath>
      </m:oMathPara>
    </w:p>
    <w:p>
      <w:pPr>
        <w:pStyle w:val="FirstParagraph"/>
      </w:pPr>
      <w:r>
        <w:t xml:space="preserve">The axial angle difference between the freshwater PCA direction and the data-support PCA direction is computed as:</w:t>
      </w:r>
    </w:p>
    <w:p>
      <w:pPr>
        <w:pStyle w:val="BodyText"/>
      </w:pPr>
      <m:oMathPara>
        <m:oMathParaPr>
          <m:jc m:val="center"/>
        </m:oMathParaPr>
        <m:oMath>
          <m:r>
            <m:rPr>
              <m:sty m:val="p"/>
            </m:rPr>
            <m:t>Δ</m:t>
          </m:r>
          <m:r>
            <m:t>θ</m:t>
          </m:r>
          <m:r>
            <m:rPr>
              <m:sty m:val="p"/>
            </m:rPr>
            <m:t>=</m:t>
          </m:r>
          <m:r>
            <m:rPr>
              <m:sty m:val="p"/>
            </m:rPr>
            <m:t>min</m:t>
          </m:r>
          <m:d>
            <m:dPr>
              <m:begChr m:val="("/>
              <m:sepChr m:val=""/>
              <m:endChr m:val=")"/>
              <m:grow/>
            </m:dPr>
            <m:e>
              <m:r>
                <m:rPr>
                  <m:sty m:val="p"/>
                </m:rPr>
                <m:t>|</m:t>
              </m:r>
              <m:sSub>
                <m:e>
                  <m:r>
                    <m:t>θ</m:t>
                  </m:r>
                </m:e>
                <m:sub>
                  <m:r>
                    <m:rPr>
                      <m:sty m:val="p"/>
                    </m:rPr>
                    <m:t>f</m:t>
                  </m:r>
                  <m:r>
                    <m:rPr>
                      <m:sty m:val="p"/>
                    </m:rPr>
                    <m:t>r</m:t>
                  </m:r>
                  <m:r>
                    <m:rPr>
                      <m:sty m:val="p"/>
                    </m:rPr>
                    <m:t>e</m:t>
                  </m:r>
                  <m:r>
                    <m:rPr>
                      <m:sty m:val="p"/>
                    </m:rPr>
                    <m:t>s</m:t>
                  </m:r>
                  <m:r>
                    <m:rPr>
                      <m:sty m:val="p"/>
                    </m:rPr>
                    <m:t>h</m:t>
                  </m:r>
                </m:sub>
              </m:sSub>
              <m:r>
                <m:rPr>
                  <m:sty m:val="p"/>
                </m:rPr>
                <m:t>−</m:t>
              </m:r>
              <m:sSub>
                <m:e>
                  <m:r>
                    <m:t>θ</m:t>
                  </m:r>
                </m:e>
                <m:sub>
                  <m:r>
                    <m:rPr>
                      <m:sty m:val="p"/>
                    </m:rPr>
                    <m:t>d</m:t>
                  </m:r>
                  <m:r>
                    <m:rPr>
                      <m:sty m:val="p"/>
                    </m:rPr>
                    <m:t>a</m:t>
                  </m:r>
                  <m:r>
                    <m:rPr>
                      <m:sty m:val="p"/>
                    </m:rPr>
                    <m:t>t</m:t>
                  </m:r>
                  <m:r>
                    <m:rPr>
                      <m:sty m:val="p"/>
                    </m:rPr>
                    <m:t>a</m:t>
                  </m:r>
                </m:sub>
              </m:sSub>
              <m:r>
                <m:rPr>
                  <m:sty m:val="p"/>
                </m:rPr>
                <m:t>|</m:t>
              </m:r>
              <m:r>
                <m:t> </m:t>
              </m:r>
              <m:r>
                <m:rPr>
                  <m:sty m:val="p"/>
                </m:rPr>
                <m:t>mod</m:t>
              </m:r>
              <m:r>
                <m:t> </m:t>
              </m:r>
              <m:sSup>
                <m:e>
                  <m:r>
                    <m:t>180</m:t>
                  </m:r>
                </m:e>
                <m:sup>
                  <m:r>
                    <m:rPr>
                      <m:sty m:val="p"/>
                    </m:rPr>
                    <m:t>∘</m:t>
                  </m:r>
                </m:sup>
              </m:sSup>
              <m:r>
                <m:rPr>
                  <m:sty m:val="p"/>
                </m:rPr>
                <m:t>,</m:t>
              </m:r>
              <m:sSup>
                <m:e>
                  <m:r>
                    <m:t>180</m:t>
                  </m:r>
                </m:e>
                <m:sup>
                  <m:r>
                    <m:rPr>
                      <m:sty m:val="p"/>
                    </m:rPr>
                    <m:t>∘</m:t>
                  </m:r>
                </m:sup>
              </m:sSup>
              <m:r>
                <m:rPr>
                  <m:sty m:val="p"/>
                </m:rPr>
                <m:t>−</m:t>
              </m:r>
              <m:d>
                <m:dPr>
                  <m:begChr m:val="("/>
                  <m:sepChr m:val=""/>
                  <m:endChr m:val=")"/>
                  <m:grow/>
                </m:dPr>
                <m:e>
                  <m:r>
                    <m:rPr>
                      <m:sty m:val="p"/>
                    </m:rPr>
                    <m:t>|</m:t>
                  </m:r>
                  <m:sSub>
                    <m:e>
                      <m:r>
                        <m:t>θ</m:t>
                      </m:r>
                    </m:e>
                    <m:sub>
                      <m:r>
                        <m:rPr>
                          <m:sty m:val="p"/>
                        </m:rPr>
                        <m:t>f</m:t>
                      </m:r>
                      <m:r>
                        <m:rPr>
                          <m:sty m:val="p"/>
                        </m:rPr>
                        <m:t>r</m:t>
                      </m:r>
                      <m:r>
                        <m:rPr>
                          <m:sty m:val="p"/>
                        </m:rPr>
                        <m:t>e</m:t>
                      </m:r>
                      <m:r>
                        <m:rPr>
                          <m:sty m:val="p"/>
                        </m:rPr>
                        <m:t>s</m:t>
                      </m:r>
                      <m:r>
                        <m:rPr>
                          <m:sty m:val="p"/>
                        </m:rPr>
                        <m:t>h</m:t>
                      </m:r>
                    </m:sub>
                  </m:sSub>
                  <m:r>
                    <m:rPr>
                      <m:sty m:val="p"/>
                    </m:rPr>
                    <m:t>−</m:t>
                  </m:r>
                  <m:sSub>
                    <m:e>
                      <m:r>
                        <m:t>θ</m:t>
                      </m:r>
                    </m:e>
                    <m:sub>
                      <m:r>
                        <m:rPr>
                          <m:sty m:val="p"/>
                        </m:rPr>
                        <m:t>d</m:t>
                      </m:r>
                      <m:r>
                        <m:rPr>
                          <m:sty m:val="p"/>
                        </m:rPr>
                        <m:t>a</m:t>
                      </m:r>
                      <m:r>
                        <m:rPr>
                          <m:sty m:val="p"/>
                        </m:rPr>
                        <m:t>t</m:t>
                      </m:r>
                      <m:r>
                        <m:rPr>
                          <m:sty m:val="p"/>
                        </m:rPr>
                        <m:t>a</m:t>
                      </m:r>
                    </m:sub>
                  </m:sSub>
                  <m:r>
                    <m:rPr>
                      <m:sty m:val="p"/>
                    </m:rPr>
                    <m:t>|</m:t>
                  </m:r>
                  <m:r>
                    <m:t> </m:t>
                  </m:r>
                  <m:r>
                    <m:rPr>
                      <m:sty m:val="p"/>
                    </m:rPr>
                    <m:t>mod</m:t>
                  </m:r>
                  <m:r>
                    <m:t> </m:t>
                  </m:r>
                  <m:sSup>
                    <m:e>
                      <m:r>
                        <m:t>180</m:t>
                      </m:r>
                    </m:e>
                    <m:sup>
                      <m:r>
                        <m:rPr>
                          <m:sty m:val="p"/>
                        </m:rPr>
                        <m:t>∘</m:t>
                      </m:r>
                    </m:sup>
                  </m:sSup>
                </m:e>
              </m:d>
            </m:e>
          </m:d>
        </m:oMath>
      </m:oMathPara>
    </w:p>
    <w:p>
      <w:pPr>
        <w:pStyle w:val="FirstParagraph"/>
      </w:pPr>
      <w:r>
        <w:t xml:space="preserve">If the local data-support geometry is itself clearly elongated,</w:t>
      </w:r>
    </w:p>
    <w:p>
      <w:pPr>
        <w:pStyle w:val="BodyText"/>
      </w:pPr>
      <m:oMathPara>
        <m:oMathParaPr>
          <m:jc m:val="center"/>
        </m:oMathParaPr>
        <m:oMath>
          <m:sSub>
            <m:e>
              <m:r>
                <m:t>R</m:t>
              </m:r>
            </m:e>
            <m:sub>
              <m:r>
                <m:t>λ</m:t>
              </m:r>
              <m:r>
                <m:rPr>
                  <m:sty m:val="p"/>
                </m:rPr>
                <m:t>,</m:t>
              </m:r>
              <m:r>
                <m:rPr>
                  <m:sty m:val="p"/>
                </m:rPr>
                <m:t>d</m:t>
              </m:r>
              <m:r>
                <m:rPr>
                  <m:sty m:val="p"/>
                </m:rPr>
                <m:t>a</m:t>
              </m:r>
              <m:r>
                <m:rPr>
                  <m:sty m:val="p"/>
                </m:rPr>
                <m:t>t</m:t>
              </m:r>
              <m:r>
                <m:rPr>
                  <m:sty m:val="p"/>
                </m:rPr>
                <m:t>a</m:t>
              </m:r>
            </m:sub>
          </m:sSub>
          <m:r>
            <m:rPr>
              <m:sty m:val="p"/>
            </m:rPr>
            <m:t>≥</m:t>
          </m:r>
          <m:sSub>
            <m:e>
              <m:r>
                <m:t>R</m:t>
              </m:r>
            </m:e>
            <m:sub>
              <m:r>
                <m:t>λ</m:t>
              </m:r>
              <m:r>
                <m:rPr>
                  <m:sty m:val="p"/>
                </m:rPr>
                <m:t>,</m:t>
              </m:r>
              <m:r>
                <m:rPr>
                  <m:sty m:val="p"/>
                </m:rPr>
                <m:t>d</m:t>
              </m:r>
              <m:r>
                <m:rPr>
                  <m:sty m:val="p"/>
                </m:rPr>
                <m:t>a</m:t>
              </m:r>
              <m:r>
                <m:rPr>
                  <m:sty m:val="p"/>
                </m:rPr>
                <m:t>t</m:t>
              </m:r>
              <m:r>
                <m:rPr>
                  <m:sty m:val="p"/>
                </m:rPr>
                <m:t>a</m:t>
              </m:r>
              <m:r>
                <m:rPr>
                  <m:sty m:val="p"/>
                </m:rPr>
                <m:t>,</m:t>
              </m:r>
              <m:r>
                <m:rPr>
                  <m:sty m:val="p"/>
                </m:rPr>
                <m:t>m</m:t>
              </m:r>
              <m:r>
                <m:rPr>
                  <m:sty m:val="p"/>
                </m:rPr>
                <m:t>i</m:t>
              </m:r>
              <m:r>
                <m:rPr>
                  <m:sty m:val="p"/>
                </m:rPr>
                <m:t>n</m:t>
              </m:r>
            </m:sub>
          </m:sSub>
        </m:oMath>
      </m:oMathPara>
    </w:p>
    <w:p>
      <w:pPr>
        <w:pStyle w:val="FirstParagraph"/>
      </w:pPr>
      <w:r>
        <w:t xml:space="preserve">and the freshwater direction is too similar to the data-support direction,</w:t>
      </w:r>
    </w:p>
    <w:p>
      <w:pPr>
        <w:pStyle w:val="BodyText"/>
      </w:pPr>
      <m:oMathPara>
        <m:oMathParaPr>
          <m:jc m:val="center"/>
        </m:oMathParaPr>
        <m:oMath>
          <m:r>
            <m:rPr>
              <m:sty m:val="p"/>
            </m:rPr>
            <m:t>Δ</m:t>
          </m:r>
          <m:r>
            <m:t>θ</m:t>
          </m:r>
          <m:r>
            <m:rPr>
              <m:sty m:val="p"/>
            </m:rPr>
            <m:t>≤</m:t>
          </m:r>
          <m:r>
            <m:rPr>
              <m:sty m:val="p"/>
            </m:rPr>
            <m:t>Δ</m:t>
          </m:r>
          <m:sSub>
            <m:e>
              <m:r>
                <m:t>θ</m:t>
              </m:r>
            </m:e>
            <m:sub>
              <m:r>
                <m:rPr>
                  <m:sty m:val="p"/>
                </m:rPr>
                <m:t>m</m:t>
              </m:r>
              <m:r>
                <m:rPr>
                  <m:sty m:val="p"/>
                </m:rPr>
                <m:t>i</m:t>
              </m:r>
              <m:r>
                <m:rPr>
                  <m:sty m:val="p"/>
                </m:rPr>
                <m:t>n</m:t>
              </m:r>
            </m:sub>
          </m:sSub>
        </m:oMath>
      </m:oMathPara>
    </w:p>
    <w:p>
      <w:pPr>
        <w:pStyle w:val="FirstParagraph"/>
      </w:pPr>
      <w:r>
        <w:t xml:space="preserve">the local anisotropy estimate is rejected. This filter suppresses directions that are likely caused by flightline geometry rather than by the geometry of the freshwater body.</w:t>
      </w:r>
    </w:p>
    <w:bookmarkEnd w:id="22"/>
    <w:bookmarkStart w:id="23" w:name="distance-to-the-transition-zone"/>
    <w:p>
      <w:pPr>
        <w:pStyle w:val="Heading1"/>
      </w:pPr>
      <w:r>
        <w:t xml:space="preserve">Distance to the transition zone</w:t>
      </w:r>
    </w:p>
    <w:p>
      <w:pPr>
        <w:pStyle w:val="FirstParagraph"/>
      </w:pPr>
      <w:r>
        <w:t xml:space="preserve">For each accepted local LAF observation, the distance to the nearest salt-water cell is computed:</w:t>
      </w:r>
    </w:p>
    <w:p>
      <w:pPr>
        <w:pStyle w:val="BodyText"/>
      </w:pPr>
      <m:oMathPara>
        <m:oMathParaPr>
          <m:jc m:val="center"/>
        </m:oMathParaPr>
        <m:oMath>
          <m:sSub>
            <m:e>
              <m:r>
                <m:t>d</m:t>
              </m:r>
            </m:e>
            <m:sub>
              <m:r>
                <m:rPr>
                  <m:sty m:val="p"/>
                </m:rPr>
                <m:t>t</m:t>
              </m:r>
              <m:r>
                <m:rPr>
                  <m:sty m:val="p"/>
                </m:rPr>
                <m:t>r</m:t>
              </m:r>
              <m:r>
                <m:rPr>
                  <m:sty m:val="p"/>
                </m:rPr>
                <m:t>a</m:t>
              </m:r>
              <m:r>
                <m:rPr>
                  <m:sty m:val="p"/>
                </m:rPr>
                <m:t>n</m:t>
              </m:r>
              <m:r>
                <m:rPr>
                  <m:sty m:val="p"/>
                </m:rPr>
                <m:t>s</m:t>
              </m:r>
              <m:r>
                <m:rPr>
                  <m:sty m:val="p"/>
                </m:rPr>
                <m:t>i</m:t>
              </m:r>
              <m:r>
                <m:rPr>
                  <m:sty m:val="p"/>
                </m:rPr>
                <m:t>t</m:t>
              </m:r>
              <m:r>
                <m:rPr>
                  <m:sty m:val="p"/>
                </m:rPr>
                <m:t>i</m:t>
              </m:r>
              <m:r>
                <m:rPr>
                  <m:sty m:val="p"/>
                </m:rPr>
                <m:t>o</m:t>
              </m:r>
              <m:r>
                <m:rPr>
                  <m:sty m:val="p"/>
                </m:rPr>
                <m:t>n</m:t>
              </m:r>
              <m:r>
                <m:rPr>
                  <m:sty m:val="p"/>
                </m:rPr>
                <m:t>,</m:t>
              </m:r>
              <m:r>
                <m:rPr>
                  <m:sty m:val="p"/>
                </m:rPr>
                <m:t>o</m:t>
              </m:r>
              <m:r>
                <m:rPr>
                  <m:sty m:val="p"/>
                </m:rPr>
                <m:t>b</m:t>
              </m:r>
              <m:r>
                <m:rPr>
                  <m:sty m:val="p"/>
                </m:rPr>
                <m:t>s</m:t>
              </m:r>
            </m:sub>
          </m:sSub>
          <m:r>
            <m:rPr>
              <m:sty m:val="p"/>
            </m:rPr>
            <m:t>=</m:t>
          </m:r>
          <m:limLow>
            <m:e>
              <m:r>
                <m:rPr>
                  <m:sty m:val="p"/>
                </m:rPr>
                <m:t>min</m:t>
              </m:r>
            </m:e>
            <m:lim>
              <m:r>
                <m:t>j</m:t>
              </m:r>
            </m:lim>
          </m:limLow>
          <m:d>
            <m:dPr>
              <m:begChr m:val="∥"/>
              <m:sepChr m:val=""/>
              <m:endChr m:val="∥"/>
              <m:grow/>
            </m:dPr>
            <m:e>
              <m:sSub>
                <m:e>
                  <m:r>
                    <m:rPr>
                      <m:sty m:val="b"/>
                    </m:rPr>
                    <m:t>x</m:t>
                  </m:r>
                </m:e>
                <m:sub>
                  <m:r>
                    <m:rPr>
                      <m:sty m:val="p"/>
                    </m:rPr>
                    <m:t>f</m:t>
                  </m:r>
                  <m:r>
                    <m:rPr>
                      <m:sty m:val="p"/>
                    </m:rPr>
                    <m:t>r</m:t>
                  </m:r>
                  <m:r>
                    <m:rPr>
                      <m:sty m:val="p"/>
                    </m:rPr>
                    <m:t>e</m:t>
                  </m:r>
                  <m:r>
                    <m:rPr>
                      <m:sty m:val="p"/>
                    </m:rPr>
                    <m:t>s</m:t>
                  </m:r>
                  <m:r>
                    <m:rPr>
                      <m:sty m:val="p"/>
                    </m:rPr>
                    <m:t>h</m:t>
                  </m:r>
                </m:sub>
              </m:sSub>
              <m:r>
                <m:rPr>
                  <m:sty m:val="p"/>
                </m:rPr>
                <m:t>−</m:t>
              </m:r>
              <m:sSub>
                <m:e>
                  <m:r>
                    <m:rPr>
                      <m:sty m:val="b"/>
                    </m:rPr>
                    <m:t>x</m:t>
                  </m:r>
                </m:e>
                <m:sub>
                  <m:r>
                    <m:rPr>
                      <m:sty m:val="p"/>
                    </m:rPr>
                    <m:t>s</m:t>
                  </m:r>
                  <m:r>
                    <m:rPr>
                      <m:sty m:val="p"/>
                    </m:rPr>
                    <m:t>a</m:t>
                  </m:r>
                  <m:r>
                    <m:rPr>
                      <m:sty m:val="p"/>
                    </m:rPr>
                    <m:t>l</m:t>
                  </m:r>
                  <m:r>
                    <m:rPr>
                      <m:sty m:val="p"/>
                    </m:rPr>
                    <m:t>t</m:t>
                  </m:r>
                  <m:r>
                    <m:rPr>
                      <m:sty m:val="p"/>
                    </m:rPr>
                    <m:t>,</m:t>
                  </m:r>
                  <m:r>
                    <m:t>j</m:t>
                  </m:r>
                </m:sub>
              </m:sSub>
            </m:e>
          </m:d>
        </m:oMath>
      </m:oMathPara>
    </w:p>
    <w:p>
      <w:pPr>
        <w:pStyle w:val="FirstParagraph"/>
      </w:pPr>
      <w:r>
        <w:t xml:space="preserve">Salt-water cells are defined as:</w:t>
      </w:r>
    </w:p>
    <w:p>
      <w:pPr>
        <w:pStyle w:val="BodyText"/>
      </w:pPr>
      <m:oMathPara>
        <m:oMathParaPr>
          <m:jc m:val="center"/>
        </m:oMathParaPr>
        <m:oMath>
          <m:sSub>
            <m:e>
              <m:r>
                <m:t>P</m:t>
              </m:r>
            </m:e>
            <m:sub>
              <m:r>
                <m:rPr>
                  <m:sty m:val="p"/>
                </m:rPr>
                <m:t>f</m:t>
              </m:r>
              <m:r>
                <m:rPr>
                  <m:sty m:val="p"/>
                </m:rPr>
                <m:t>r</m:t>
              </m:r>
              <m:r>
                <m:rPr>
                  <m:sty m:val="p"/>
                </m:rPr>
                <m:t>e</m:t>
              </m:r>
              <m:r>
                <m:rPr>
                  <m:sty m:val="p"/>
                </m:rPr>
                <m:t>s</m:t>
              </m:r>
              <m:r>
                <m:rPr>
                  <m:sty m:val="p"/>
                </m:rPr>
                <m:t>h</m:t>
              </m:r>
            </m:sub>
          </m:sSub>
          <m:r>
            <m:rPr>
              <m:sty m:val="p"/>
            </m:rPr>
            <m:t>≤</m:t>
          </m:r>
          <m:sSub>
            <m:e>
              <m:r>
                <m:t>P</m:t>
              </m:r>
            </m:e>
            <m:sub>
              <m:r>
                <m:rPr>
                  <m:sty m:val="p"/>
                </m:rPr>
                <m:t>s</m:t>
              </m:r>
              <m:r>
                <m:rPr>
                  <m:sty m:val="p"/>
                </m:rPr>
                <m:t>a</m:t>
              </m:r>
              <m:r>
                <m:rPr>
                  <m:sty m:val="p"/>
                </m:rPr>
                <m:t>l</m:t>
              </m:r>
              <m:r>
                <m:rPr>
                  <m:sty m:val="p"/>
                </m:rPr>
                <m:t>t</m:t>
              </m:r>
              <m:r>
                <m:rPr>
                  <m:sty m:val="p"/>
                </m:rPr>
                <m:t>,</m:t>
              </m:r>
              <m:r>
                <m:rPr>
                  <m:sty m:val="p"/>
                </m:rPr>
                <m:t>m</m:t>
              </m:r>
              <m:r>
                <m:rPr>
                  <m:sty m:val="p"/>
                </m:rPr>
                <m:t>a</m:t>
              </m:r>
              <m:r>
                <m:rPr>
                  <m:sty m:val="p"/>
                </m:rPr>
                <m:t>x</m:t>
              </m:r>
            </m:sub>
          </m:sSub>
        </m:oMath>
      </m:oMathPara>
    </w:p>
    <w:p>
      <w:pPr>
        <w:pStyle w:val="FirstParagraph"/>
      </w:pPr>
      <w:r>
        <w:t xml:space="preserve">This distance is used as a simple proxy for the distance to the freshwater–saltwater transition zone. Close to such transitions, a relatively short minor anisotropy range is expected. Farther away from the transition, the minor range is allowed to increase.</w:t>
      </w:r>
    </w:p>
    <w:p>
      <w:pPr>
        <w:pStyle w:val="BodyText"/>
      </w:pPr>
      <w:r>
        <w:t xml:space="preserve">The PCA step therefore produces sparse, observation-based LAF variables:</w:t>
      </w:r>
    </w:p>
    <w:p>
      <w:pPr>
        <w:pStyle w:val="BodyText"/>
      </w:pPr>
      <m:oMathPara>
        <m:oMathParaPr>
          <m:jc m:val="center"/>
        </m:oMathParaPr>
        <m:oMath>
          <m:sSub>
            <m:e>
              <m:r>
                <m:t>θ</m:t>
              </m:r>
            </m:e>
            <m:sub>
              <m:r>
                <m:rPr>
                  <m:sty m:val="p"/>
                </m:rPr>
                <m:t>L</m:t>
              </m:r>
              <m:r>
                <m:rPr>
                  <m:sty m:val="p"/>
                </m:rPr>
                <m:t>A</m:t>
              </m:r>
              <m:r>
                <m:rPr>
                  <m:sty m:val="p"/>
                </m:rPr>
                <m:t>F</m:t>
              </m:r>
              <m:r>
                <m:rPr>
                  <m:sty m:val="p"/>
                </m:rPr>
                <m:t>,</m:t>
              </m:r>
              <m:r>
                <m:rPr>
                  <m:sty m:val="p"/>
                </m:rPr>
                <m:t>o</m:t>
              </m:r>
              <m:r>
                <m:rPr>
                  <m:sty m:val="p"/>
                </m:rPr>
                <m:t>b</m:t>
              </m:r>
              <m:r>
                <m:rPr>
                  <m:sty m:val="p"/>
                </m:rPr>
                <m:t>s</m:t>
              </m:r>
            </m:sub>
          </m:sSub>
        </m:oMath>
      </m:oMathPara>
    </w:p>
    <w:p>
      <w:pPr>
        <w:pStyle w:val="FirstParagraph"/>
      </w:pPr>
      <w:r>
        <w:t xml:space="preserve">and:</w:t>
      </w:r>
    </w:p>
    <w:p>
      <w:pPr>
        <w:pStyle w:val="BodyText"/>
      </w:pPr>
      <m:oMathPara>
        <m:oMathParaPr>
          <m:jc m:val="center"/>
        </m:oMathParaPr>
        <m:oMath>
          <m:sSub>
            <m:e>
              <m:r>
                <m:t>d</m:t>
              </m:r>
            </m:e>
            <m:sub>
              <m:r>
                <m:rPr>
                  <m:sty m:val="p"/>
                </m:rPr>
                <m:t>t</m:t>
              </m:r>
              <m:r>
                <m:rPr>
                  <m:sty m:val="p"/>
                </m:rPr>
                <m:t>r</m:t>
              </m:r>
              <m:r>
                <m:rPr>
                  <m:sty m:val="p"/>
                </m:rPr>
                <m:t>a</m:t>
              </m:r>
              <m:r>
                <m:rPr>
                  <m:sty m:val="p"/>
                </m:rPr>
                <m:t>n</m:t>
              </m:r>
              <m:r>
                <m:rPr>
                  <m:sty m:val="p"/>
                </m:rPr>
                <m:t>s</m:t>
              </m:r>
              <m:r>
                <m:rPr>
                  <m:sty m:val="p"/>
                </m:rPr>
                <m:t>i</m:t>
              </m:r>
              <m:r>
                <m:rPr>
                  <m:sty m:val="p"/>
                </m:rPr>
                <m:t>t</m:t>
              </m:r>
              <m:r>
                <m:rPr>
                  <m:sty m:val="p"/>
                </m:rPr>
                <m:t>i</m:t>
              </m:r>
              <m:r>
                <m:rPr>
                  <m:sty m:val="p"/>
                </m:rPr>
                <m:t>o</m:t>
              </m:r>
              <m:r>
                <m:rPr>
                  <m:sty m:val="p"/>
                </m:rPr>
                <m:t>n</m:t>
              </m:r>
              <m:r>
                <m:rPr>
                  <m:sty m:val="p"/>
                </m:rPr>
                <m:t>,</m:t>
              </m:r>
              <m:r>
                <m:rPr>
                  <m:sty m:val="p"/>
                </m:rPr>
                <m:t>o</m:t>
              </m:r>
              <m:r>
                <m:rPr>
                  <m:sty m:val="p"/>
                </m:rPr>
                <m:t>b</m:t>
              </m:r>
              <m:r>
                <m:rPr>
                  <m:sty m:val="p"/>
                </m:rPr>
                <m:t>s</m:t>
              </m:r>
            </m:sub>
          </m:sSub>
        </m:oMath>
      </m:oMathPara>
    </w:p>
    <w:p>
      <w:pPr>
        <w:pStyle w:val="FirstParagraph"/>
      </w:pPr>
      <w:r>
        <w:t xml:space="preserve">where</w:t>
      </w:r>
      <w:r>
        <w:t xml:space="preserve"> </w:t>
      </w:r>
      <m:oMath>
        <m:sSub>
          <m:e>
            <m:r>
              <m:t>θ</m:t>
            </m:r>
          </m:e>
          <m:sub>
            <m:r>
              <m:rPr>
                <m:sty m:val="p"/>
              </m:rPr>
              <m:t>L</m:t>
            </m:r>
            <m:r>
              <m:rPr>
                <m:sty m:val="p"/>
              </m:rPr>
              <m:t>A</m:t>
            </m:r>
            <m:r>
              <m:rPr>
                <m:sty m:val="p"/>
              </m:rPr>
              <m:t>F</m:t>
            </m:r>
            <m:r>
              <m:rPr>
                <m:sty m:val="p"/>
              </m:rPr>
              <m:t>,</m:t>
            </m:r>
            <m:r>
              <m:rPr>
                <m:sty m:val="p"/>
              </m:rPr>
              <m:t>o</m:t>
            </m:r>
            <m:r>
              <m:rPr>
                <m:sty m:val="p"/>
              </m:rPr>
              <m:t>b</m:t>
            </m:r>
            <m:r>
              <m:rPr>
                <m:sty m:val="p"/>
              </m:rPr>
              <m:t>s</m:t>
            </m:r>
          </m:sub>
        </m:sSub>
      </m:oMath>
      <w:r>
        <w:t xml:space="preserve"> </w:t>
      </w:r>
      <w:r>
        <w:t xml:space="preserve">is the observed-grid local major-axis angle and</w:t>
      </w:r>
      <w:r>
        <w:t xml:space="preserve"> </w:t>
      </w:r>
      <m:oMath>
        <m:sSub>
          <m:e>
            <m:r>
              <m:t>d</m:t>
            </m:r>
          </m:e>
          <m:sub>
            <m:r>
              <m:rPr>
                <m:sty m:val="p"/>
              </m:rPr>
              <m:t>t</m:t>
            </m:r>
            <m:r>
              <m:rPr>
                <m:sty m:val="p"/>
              </m:rPr>
              <m:t>r</m:t>
            </m:r>
            <m:r>
              <m:rPr>
                <m:sty m:val="p"/>
              </m:rPr>
              <m:t>a</m:t>
            </m:r>
            <m:r>
              <m:rPr>
                <m:sty m:val="p"/>
              </m:rPr>
              <m:t>n</m:t>
            </m:r>
            <m:r>
              <m:rPr>
                <m:sty m:val="p"/>
              </m:rPr>
              <m:t>s</m:t>
            </m:r>
            <m:r>
              <m:rPr>
                <m:sty m:val="p"/>
              </m:rPr>
              <m:t>i</m:t>
            </m:r>
            <m:r>
              <m:rPr>
                <m:sty m:val="p"/>
              </m:rPr>
              <m:t>t</m:t>
            </m:r>
            <m:r>
              <m:rPr>
                <m:sty m:val="p"/>
              </m:rPr>
              <m:t>i</m:t>
            </m:r>
            <m:r>
              <m:rPr>
                <m:sty m:val="p"/>
              </m:rPr>
              <m:t>o</m:t>
            </m:r>
            <m:r>
              <m:rPr>
                <m:sty m:val="p"/>
              </m:rPr>
              <m:t>n</m:t>
            </m:r>
            <m:r>
              <m:rPr>
                <m:sty m:val="p"/>
              </m:rPr>
              <m:t>,</m:t>
            </m:r>
            <m:r>
              <m:rPr>
                <m:sty m:val="p"/>
              </m:rPr>
              <m:t>o</m:t>
            </m:r>
            <m:r>
              <m:rPr>
                <m:sty m:val="p"/>
              </m:rPr>
              <m:t>b</m:t>
            </m:r>
            <m:r>
              <m:rPr>
                <m:sty m:val="p"/>
              </m:rPr>
              <m:t>s</m:t>
            </m:r>
          </m:sub>
        </m:sSub>
      </m:oMath>
      <w:r>
        <w:t xml:space="preserve"> </w:t>
      </w:r>
      <w:r>
        <w:t xml:space="preserve">is the observed-grid distance to the nearest transition.</w:t>
      </w:r>
    </w:p>
    <w:bookmarkEnd w:id="23"/>
    <w:bookmarkStart w:id="24" w:name="interpolation-to-the-full-grid"/>
    <w:p>
      <w:pPr>
        <w:pStyle w:val="Heading1"/>
      </w:pPr>
      <w:r>
        <w:t xml:space="preserve">Interpolation to the full grid</w:t>
      </w:r>
    </w:p>
    <w:p>
      <w:pPr>
        <w:pStyle w:val="FirstParagraph"/>
      </w:pPr>
      <w:r>
        <w:t xml:space="preserve">The local PCA analysis only provides LAF estimates at cells where sufficient local support is available. To obtain a full-grid LAF, the sparse observed-grid estimates are interpolated.</w:t>
      </w:r>
    </w:p>
    <w:p>
      <w:pPr>
        <w:pStyle w:val="BodyText"/>
      </w:pPr>
      <w:r>
        <w:t xml:space="preserve">Because anisotropy directions are axial, the angles are not interpolated directly. Instead, each angle is transformed using the doubled-angle representation:</w:t>
      </w:r>
    </w:p>
    <w:p>
      <w:pPr>
        <w:pStyle w:val="BodyText"/>
      </w:pPr>
      <m:oMathPara>
        <m:oMathParaPr>
          <m:jc m:val="center"/>
        </m:oMathParaPr>
        <m:oMath>
          <m:r>
            <m:t>u</m:t>
          </m:r>
          <m:r>
            <m:rPr>
              <m:sty m:val="p"/>
            </m:rPr>
            <m:t>=</m:t>
          </m:r>
          <m:r>
            <m:rPr>
              <m:sty m:val="p"/>
            </m:rPr>
            <m:t>cos</m:t>
          </m:r>
          <m:r>
            <m:rPr>
              <m:sty m:val="p"/>
            </m:rPr>
            <m:t>(</m:t>
          </m:r>
          <m:r>
            <m:t>2</m:t>
          </m:r>
          <m:r>
            <m:t>θ</m:t>
          </m:r>
          <m:r>
            <m:rPr>
              <m:sty m:val="p"/>
            </m:rPr>
            <m:t>)</m:t>
          </m:r>
        </m:oMath>
      </m:oMathPara>
    </w:p>
    <w:p>
      <w:pPr>
        <w:pStyle w:val="FirstParagraph"/>
      </w:pPr>
      <m:oMathPara>
        <m:oMathParaPr>
          <m:jc m:val="center"/>
        </m:oMathParaPr>
        <m:oMath>
          <m:r>
            <m:t>v</m:t>
          </m:r>
          <m:r>
            <m:rPr>
              <m:sty m:val="p"/>
            </m:rPr>
            <m:t>=</m:t>
          </m:r>
          <m:r>
            <m:rPr>
              <m:sty m:val="p"/>
            </m:rPr>
            <m:t>sin</m:t>
          </m:r>
          <m:r>
            <m:rPr>
              <m:sty m:val="p"/>
            </m:rPr>
            <m:t>(</m:t>
          </m:r>
          <m:r>
            <m:t>2</m:t>
          </m:r>
          <m:r>
            <m:t>θ</m:t>
          </m:r>
          <m:r>
            <m:rPr>
              <m:sty m:val="p"/>
            </m:rPr>
            <m:t>)</m:t>
          </m:r>
        </m:oMath>
      </m:oMathPara>
    </w:p>
    <w:p>
      <w:pPr>
        <w:pStyle w:val="FirstParagraph"/>
      </w:pPr>
      <w:r>
        <w:t xml:space="preserve">The components</w:t>
      </w:r>
      <w:r>
        <w:t xml:space="preserve"> </w:t>
      </w:r>
      <m:oMath>
        <m:r>
          <m:t>u</m:t>
        </m:r>
      </m:oMath>
      <w:r>
        <w:t xml:space="preserve"> </w:t>
      </w:r>
      <w:r>
        <w:t xml:space="preserve">and</w:t>
      </w:r>
      <w:r>
        <w:t xml:space="preserve"> </w:t>
      </w:r>
      <m:oMath>
        <m:r>
          <m:t>v</m:t>
        </m:r>
      </m:oMath>
      <w:r>
        <w:t xml:space="preserve"> </w:t>
      </w:r>
      <w:r>
        <w:t xml:space="preserve">are interpolated separately using inverse distance weighting (IDW):</w:t>
      </w:r>
    </w:p>
    <w:p>
      <w:pPr>
        <w:pStyle w:val="BodyText"/>
      </w:pPr>
      <m:oMathPara>
        <m:oMathParaPr>
          <m:jc m:val="center"/>
        </m:oMathParaPr>
        <m:oMath>
          <m:acc>
            <m:accPr>
              <m:chr m:val="̂"/>
            </m:accPr>
            <m:e>
              <m:r>
                <m:t>u</m:t>
              </m:r>
            </m:e>
          </m:acc>
          <m:r>
            <m:rPr>
              <m:sty m:val="p"/>
            </m:rPr>
            <m:t>(</m:t>
          </m:r>
          <m:r>
            <m:rPr>
              <m:sty m:val="b"/>
            </m:rPr>
            <m:t>x</m:t>
          </m:r>
          <m:r>
            <m:rPr>
              <m:sty m:val="p"/>
            </m:rPr>
            <m:t>)</m:t>
          </m:r>
          <m:r>
            <m:rPr>
              <m:sty m:val="p"/>
            </m:rPr>
            <m:t>=</m:t>
          </m:r>
          <m:f>
            <m:fPr>
              <m:type m:val="bar"/>
            </m:fPr>
            <m:num>
              <m:nary>
                <m:naryPr>
                  <m:chr m:val="∑"/>
                  <m:limLoc m:val="undOvr"/>
                  <m:subHide m:val="off"/>
                  <m:supHide m:val="on"/>
                </m:naryPr>
                <m:sub>
                  <m:r>
                    <m:t>i</m:t>
                  </m:r>
                </m:sub>
                <m:sup>
                  <m:r>
                    <m:t>​</m:t>
                  </m:r>
                </m:sup>
                <m:e>
                  <m:sSub>
                    <m:e>
                      <m:r>
                        <m:t>w</m:t>
                      </m:r>
                    </m:e>
                    <m:sub>
                      <m:r>
                        <m:t>i</m:t>
                      </m:r>
                    </m:sub>
                  </m:sSub>
                </m:e>
              </m:nary>
              <m:r>
                <m:rPr>
                  <m:sty m:val="p"/>
                </m:rPr>
                <m:t>(</m:t>
              </m:r>
              <m:r>
                <m:rPr>
                  <m:sty m:val="b"/>
                </m:rPr>
                <m:t>x</m:t>
              </m:r>
              <m:r>
                <m:rPr>
                  <m:sty m:val="p"/>
                </m:rPr>
                <m:t>)</m:t>
              </m:r>
              <m:sSub>
                <m:e>
                  <m:r>
                    <m:t>u</m:t>
                  </m:r>
                </m:e>
                <m:sub>
                  <m:r>
                    <m:t>i</m:t>
                  </m:r>
                </m:sub>
              </m:sSub>
            </m:num>
            <m:den>
              <m:nary>
                <m:naryPr>
                  <m:chr m:val="∑"/>
                  <m:limLoc m:val="undOvr"/>
                  <m:subHide m:val="off"/>
                  <m:supHide m:val="on"/>
                </m:naryPr>
                <m:sub>
                  <m:r>
                    <m:t>i</m:t>
                  </m:r>
                </m:sub>
                <m:sup>
                  <m:r>
                    <m:t>​</m:t>
                  </m:r>
                </m:sup>
                <m:e>
                  <m:sSub>
                    <m:e>
                      <m:r>
                        <m:t>w</m:t>
                      </m:r>
                    </m:e>
                    <m:sub>
                      <m:r>
                        <m:t>i</m:t>
                      </m:r>
                    </m:sub>
                  </m:sSub>
                </m:e>
              </m:nary>
              <m:r>
                <m:rPr>
                  <m:sty m:val="p"/>
                </m:rPr>
                <m:t>(</m:t>
              </m:r>
              <m:r>
                <m:rPr>
                  <m:sty m:val="b"/>
                </m:rPr>
                <m:t>x</m:t>
              </m:r>
              <m:r>
                <m:rPr>
                  <m:sty m:val="p"/>
                </m:rPr>
                <m:t>)</m:t>
              </m:r>
            </m:den>
          </m:f>
        </m:oMath>
      </m:oMathPara>
    </w:p>
    <w:p>
      <w:pPr>
        <w:pStyle w:val="FirstParagraph"/>
      </w:pPr>
      <m:oMathPara>
        <m:oMathParaPr>
          <m:jc m:val="center"/>
        </m:oMathParaPr>
        <m:oMath>
          <m:acc>
            <m:accPr>
              <m:chr m:val="̂"/>
            </m:accPr>
            <m:e>
              <m:r>
                <m:t>v</m:t>
              </m:r>
            </m:e>
          </m:acc>
          <m:r>
            <m:rPr>
              <m:sty m:val="p"/>
            </m:rPr>
            <m:t>(</m:t>
          </m:r>
          <m:r>
            <m:rPr>
              <m:sty m:val="b"/>
            </m:rPr>
            <m:t>x</m:t>
          </m:r>
          <m:r>
            <m:rPr>
              <m:sty m:val="p"/>
            </m:rPr>
            <m:t>)</m:t>
          </m:r>
          <m:r>
            <m:rPr>
              <m:sty m:val="p"/>
            </m:rPr>
            <m:t>=</m:t>
          </m:r>
          <m:f>
            <m:fPr>
              <m:type m:val="bar"/>
            </m:fPr>
            <m:num>
              <m:nary>
                <m:naryPr>
                  <m:chr m:val="∑"/>
                  <m:limLoc m:val="undOvr"/>
                  <m:subHide m:val="off"/>
                  <m:supHide m:val="on"/>
                </m:naryPr>
                <m:sub>
                  <m:r>
                    <m:t>i</m:t>
                  </m:r>
                </m:sub>
                <m:sup>
                  <m:r>
                    <m:t>​</m:t>
                  </m:r>
                </m:sup>
                <m:e>
                  <m:sSub>
                    <m:e>
                      <m:r>
                        <m:t>w</m:t>
                      </m:r>
                    </m:e>
                    <m:sub>
                      <m:r>
                        <m:t>i</m:t>
                      </m:r>
                    </m:sub>
                  </m:sSub>
                </m:e>
              </m:nary>
              <m:r>
                <m:rPr>
                  <m:sty m:val="p"/>
                </m:rPr>
                <m:t>(</m:t>
              </m:r>
              <m:r>
                <m:rPr>
                  <m:sty m:val="b"/>
                </m:rPr>
                <m:t>x</m:t>
              </m:r>
              <m:r>
                <m:rPr>
                  <m:sty m:val="p"/>
                </m:rPr>
                <m:t>)</m:t>
              </m:r>
              <m:sSub>
                <m:e>
                  <m:r>
                    <m:t>v</m:t>
                  </m:r>
                </m:e>
                <m:sub>
                  <m:r>
                    <m:t>i</m:t>
                  </m:r>
                </m:sub>
              </m:sSub>
            </m:num>
            <m:den>
              <m:nary>
                <m:naryPr>
                  <m:chr m:val="∑"/>
                  <m:limLoc m:val="undOvr"/>
                  <m:subHide m:val="off"/>
                  <m:supHide m:val="on"/>
                </m:naryPr>
                <m:sub>
                  <m:r>
                    <m:t>i</m:t>
                  </m:r>
                </m:sub>
                <m:sup>
                  <m:r>
                    <m:t>​</m:t>
                  </m:r>
                </m:sup>
                <m:e>
                  <m:sSub>
                    <m:e>
                      <m:r>
                        <m:t>w</m:t>
                      </m:r>
                    </m:e>
                    <m:sub>
                      <m:r>
                        <m:t>i</m:t>
                      </m:r>
                    </m:sub>
                  </m:sSub>
                </m:e>
              </m:nary>
              <m:r>
                <m:rPr>
                  <m:sty m:val="p"/>
                </m:rPr>
                <m:t>(</m:t>
              </m:r>
              <m:r>
                <m:rPr>
                  <m:sty m:val="b"/>
                </m:rPr>
                <m:t>x</m:t>
              </m:r>
              <m:r>
                <m:rPr>
                  <m:sty m:val="p"/>
                </m:rPr>
                <m:t>)</m:t>
              </m:r>
            </m:den>
          </m:f>
        </m:oMath>
      </m:oMathPara>
    </w:p>
    <w:p>
      <w:pPr>
        <w:pStyle w:val="FirstParagraph"/>
      </w:pPr>
      <w:r>
        <w:t xml:space="preserve">with IDW weights:</w:t>
      </w:r>
    </w:p>
    <w:p>
      <w:pPr>
        <w:pStyle w:val="BodyText"/>
      </w:pPr>
      <m:oMathPara>
        <m:oMathParaPr>
          <m:jc m:val="center"/>
        </m:oMathParaPr>
        <m:oMath>
          <m:sSub>
            <m:e>
              <m:r>
                <m:t>w</m:t>
              </m:r>
            </m:e>
            <m:sub>
              <m:r>
                <m:t>i</m:t>
              </m:r>
            </m:sub>
          </m:sSub>
          <m:r>
            <m:rPr>
              <m:sty m:val="p"/>
            </m:rPr>
            <m:t>(</m:t>
          </m:r>
          <m:r>
            <m:rPr>
              <m:sty m:val="b"/>
            </m:rPr>
            <m:t>x</m:t>
          </m:r>
          <m:r>
            <m:rPr>
              <m:sty m:val="p"/>
            </m:rPr>
            <m:t>)</m:t>
          </m:r>
          <m:r>
            <m:rPr>
              <m:sty m:val="p"/>
            </m:rPr>
            <m:t>=</m:t>
          </m:r>
          <m:f>
            <m:fPr>
              <m:type m:val="bar"/>
            </m:fPr>
            <m:num>
              <m:r>
                <m:t>1</m:t>
              </m:r>
            </m:num>
            <m:den>
              <m:r>
                <m:t>d</m:t>
              </m:r>
              <m:r>
                <m:rPr>
                  <m:sty m:val="p"/>
                </m:rPr>
                <m:t>(</m:t>
              </m:r>
              <m:r>
                <m:rPr>
                  <m:sty m:val="b"/>
                </m:rPr>
                <m:t>x</m:t>
              </m:r>
              <m:r>
                <m:rPr>
                  <m:sty m:val="p"/>
                </m:rPr>
                <m:t>,</m:t>
              </m:r>
              <m:sSub>
                <m:e>
                  <m:r>
                    <m:rPr>
                      <m:sty m:val="b"/>
                    </m:rPr>
                    <m:t>x</m:t>
                  </m:r>
                </m:e>
                <m:sub>
                  <m:r>
                    <m:t>i</m:t>
                  </m:r>
                </m:sub>
              </m:sSub>
              <m:sSup>
                <m:e>
                  <m:r>
                    <m:rPr>
                      <m:sty m:val="p"/>
                    </m:rPr>
                    <m:t>)</m:t>
                  </m:r>
                </m:e>
                <m:sup>
                  <m:r>
                    <m:t>p</m:t>
                  </m:r>
                </m:sup>
              </m:sSup>
            </m:den>
          </m:f>
        </m:oMath>
      </m:oMathPara>
    </w:p>
    <w:p>
      <w:pPr>
        <w:pStyle w:val="FirstParagraph"/>
      </w:pPr>
      <w:r>
        <w:t xml:space="preserve">where</w:t>
      </w:r>
      <w:r>
        <w:t xml:space="preserve"> </w:t>
      </w:r>
      <m:oMath>
        <m:r>
          <m:t>p</m:t>
        </m:r>
      </m:oMath>
      <w:r>
        <w:t xml:space="preserve"> </w:t>
      </w:r>
      <w:r>
        <w:t xml:space="preserve">is the IDW power parameter and</w:t>
      </w:r>
      <w:r>
        <w:t xml:space="preserve"> </w:t>
      </w:r>
      <m:oMath>
        <m:r>
          <m:t>d</m:t>
        </m:r>
        <m:r>
          <m:rPr>
            <m:sty m:val="p"/>
          </m:rPr>
          <m:t>(</m:t>
        </m:r>
        <m:r>
          <m:rPr>
            <m:sty m:val="b"/>
          </m:rPr>
          <m:t>x</m:t>
        </m:r>
        <m:r>
          <m:rPr>
            <m:sty m:val="p"/>
          </m:rPr>
          <m:t>,</m:t>
        </m:r>
        <m:sSub>
          <m:e>
            <m:r>
              <m:rPr>
                <m:sty m:val="b"/>
              </m:rPr>
              <m:t>x</m:t>
            </m:r>
          </m:e>
          <m:sub>
            <m:r>
              <m:t>i</m:t>
            </m:r>
          </m:sub>
        </m:sSub>
        <m:r>
          <m:rPr>
            <m:sty m:val="p"/>
          </m:rPr>
          <m:t>)</m:t>
        </m:r>
      </m:oMath>
      <w:r>
        <w:t xml:space="preserve"> </w:t>
      </w:r>
      <w:r>
        <w:t xml:space="preserve">is the distance between the prediction cell and an observed LAF cell.</w:t>
      </w:r>
    </w:p>
    <w:p>
      <w:pPr>
        <w:pStyle w:val="BodyText"/>
      </w:pPr>
      <w:r>
        <w:t xml:space="preserve">The interpolated major-axis angle is then obtained by transforming back from doubled-angle space:</w:t>
      </w:r>
    </w:p>
    <w:p>
      <w:pPr>
        <w:pStyle w:val="BodyText"/>
      </w:pPr>
      <m:oMathPara>
        <m:oMathParaPr>
          <m:jc m:val="center"/>
        </m:oMathParaPr>
        <m:oMath>
          <m:sSub>
            <m:e>
              <m:r>
                <m:t>θ</m:t>
              </m:r>
            </m:e>
            <m:sub>
              <m:r>
                <m:rPr>
                  <m:sty m:val="p"/>
                </m:rPr>
                <m:t>L</m:t>
              </m:r>
              <m:r>
                <m:rPr>
                  <m:sty m:val="p"/>
                </m:rPr>
                <m:t>A</m:t>
              </m:r>
              <m:r>
                <m:rPr>
                  <m:sty m:val="p"/>
                </m:rPr>
                <m:t>F</m:t>
              </m:r>
            </m:sub>
          </m:sSub>
          <m:r>
            <m:rPr>
              <m:sty m:val="p"/>
            </m:rPr>
            <m:t>(</m:t>
          </m:r>
          <m:r>
            <m:rPr>
              <m:sty m:val="b"/>
            </m:rPr>
            <m:t>x</m:t>
          </m:r>
          <m:r>
            <m:rPr>
              <m:sty m:val="p"/>
            </m:rPr>
            <m:t>)</m:t>
          </m:r>
          <m:r>
            <m:rPr>
              <m:sty m:val="p"/>
            </m:rPr>
            <m:t>=</m:t>
          </m:r>
          <m:f>
            <m:fPr>
              <m:type m:val="bar"/>
            </m:fPr>
            <m:num>
              <m:r>
                <m:t>1</m:t>
              </m:r>
            </m:num>
            <m:den>
              <m:r>
                <m:t>2</m:t>
              </m:r>
            </m:den>
          </m:f>
          <m:r>
            <m:rPr>
              <m:sty m:val="p"/>
            </m:rPr>
            <m:t>atan2</m:t>
          </m:r>
          <m:d>
            <m:dPr>
              <m:begChr m:val="("/>
              <m:sepChr m:val=""/>
              <m:endChr m:val=")"/>
              <m:grow/>
            </m:dPr>
            <m:e>
              <m:acc>
                <m:accPr>
                  <m:chr m:val="̂"/>
                </m:accPr>
                <m:e>
                  <m:r>
                    <m:t>v</m:t>
                  </m:r>
                </m:e>
              </m:acc>
              <m:r>
                <m:rPr>
                  <m:sty m:val="p"/>
                </m:rPr>
                <m:t>(</m:t>
              </m:r>
              <m:r>
                <m:rPr>
                  <m:sty m:val="b"/>
                </m:rPr>
                <m:t>x</m:t>
              </m:r>
              <m:r>
                <m:rPr>
                  <m:sty m:val="p"/>
                </m:rPr>
                <m:t>)</m:t>
              </m:r>
              <m:r>
                <m:rPr>
                  <m:sty m:val="p"/>
                </m:rPr>
                <m:t>,</m:t>
              </m:r>
              <m:acc>
                <m:accPr>
                  <m:chr m:val="̂"/>
                </m:accPr>
                <m:e>
                  <m:r>
                    <m:t>u</m:t>
                  </m:r>
                </m:e>
              </m:acc>
              <m:r>
                <m:rPr>
                  <m:sty m:val="p"/>
                </m:rPr>
                <m:t>(</m:t>
              </m:r>
              <m:r>
                <m:rPr>
                  <m:sty m:val="b"/>
                </m:rPr>
                <m:t>x</m:t>
              </m:r>
              <m:r>
                <m:rPr>
                  <m:sty m:val="p"/>
                </m:rPr>
                <m:t>)</m:t>
              </m:r>
            </m:e>
          </m:d>
        </m:oMath>
      </m:oMathPara>
    </w:p>
    <w:p>
      <w:pPr>
        <w:pStyle w:val="FirstParagraph"/>
      </w:pPr>
      <w:r>
        <w:t xml:space="preserve">and is stored modulo</w:t>
      </w:r>
      <w:r>
        <w:t xml:space="preserve"> </w:t>
      </w:r>
      <m:oMath>
        <m:sSup>
          <m:e>
            <m:r>
              <m:t>180</m:t>
            </m:r>
          </m:e>
          <m:sup>
            <m:r>
              <m:rPr>
                <m:sty m:val="p"/>
              </m:rPr>
              <m:t>∘</m:t>
            </m:r>
          </m:sup>
        </m:sSup>
      </m:oMath>
      <w:r>
        <w:t xml:space="preserve">.</w:t>
      </w:r>
    </w:p>
    <w:p>
      <w:pPr>
        <w:pStyle w:val="BodyText"/>
      </w:pPr>
      <w:r>
        <w:t xml:space="preserve">The transition-distance proxy is also interpolated using IDW:</w:t>
      </w:r>
    </w:p>
    <w:p>
      <w:pPr>
        <w:pStyle w:val="BodyText"/>
      </w:pPr>
      <m:oMathPara>
        <m:oMathParaPr>
          <m:jc m:val="center"/>
        </m:oMathParaPr>
        <m:oMath>
          <m:sSub>
            <m:e>
              <m:acc>
                <m:accPr>
                  <m:chr m:val="̂"/>
                </m:accPr>
                <m:e>
                  <m:r>
                    <m:t>d</m:t>
                  </m:r>
                </m:e>
              </m:acc>
            </m:e>
            <m:sub>
              <m:r>
                <m:rPr>
                  <m:sty m:val="p"/>
                </m:rPr>
                <m:t>t</m:t>
              </m:r>
              <m:r>
                <m:rPr>
                  <m:sty m:val="p"/>
                </m:rPr>
                <m:t>r</m:t>
              </m:r>
              <m:r>
                <m:rPr>
                  <m:sty m:val="p"/>
                </m:rPr>
                <m:t>a</m:t>
              </m:r>
              <m:r>
                <m:rPr>
                  <m:sty m:val="p"/>
                </m:rPr>
                <m:t>n</m:t>
              </m:r>
              <m:r>
                <m:rPr>
                  <m:sty m:val="p"/>
                </m:rPr>
                <m:t>s</m:t>
              </m:r>
              <m:r>
                <m:rPr>
                  <m:sty m:val="p"/>
                </m:rPr>
                <m:t>i</m:t>
              </m:r>
              <m:r>
                <m:rPr>
                  <m:sty m:val="p"/>
                </m:rPr>
                <m:t>t</m:t>
              </m:r>
              <m:r>
                <m:rPr>
                  <m:sty m:val="p"/>
                </m:rPr>
                <m:t>i</m:t>
              </m:r>
              <m:r>
                <m:rPr>
                  <m:sty m:val="p"/>
                </m:rPr>
                <m:t>o</m:t>
              </m:r>
              <m:r>
                <m:rPr>
                  <m:sty m:val="p"/>
                </m:rPr>
                <m:t>n</m:t>
              </m:r>
              <m:r>
                <m:rPr>
                  <m:sty m:val="p"/>
                </m:rPr>
                <m:t>,</m:t>
              </m:r>
              <m:r>
                <m:rPr>
                  <m:sty m:val="p"/>
                </m:rPr>
                <m:t>o</m:t>
              </m:r>
              <m:r>
                <m:rPr>
                  <m:sty m:val="p"/>
                </m:rPr>
                <m:t>b</m:t>
              </m:r>
              <m:r>
                <m:rPr>
                  <m:sty m:val="p"/>
                </m:rPr>
                <m:t>s</m:t>
              </m:r>
            </m:sub>
          </m:sSub>
          <m:r>
            <m:rPr>
              <m:sty m:val="p"/>
            </m:rPr>
            <m:t>(</m:t>
          </m:r>
          <m:r>
            <m:rPr>
              <m:sty m:val="b"/>
            </m:rPr>
            <m:t>x</m:t>
          </m:r>
          <m:r>
            <m:rPr>
              <m:sty m:val="p"/>
            </m:rPr>
            <m:t>)</m:t>
          </m:r>
        </m:oMath>
      </m:oMathPara>
    </w:p>
    <w:p>
      <w:pPr>
        <w:pStyle w:val="FirstParagraph"/>
      </w:pPr>
      <w:r>
        <w:t xml:space="preserve">To account for increasing uncertainty away from cells where the LAF was directly estimated, this interpolated distance is increased by the distance to the nearest observed LAF cell:</w:t>
      </w:r>
    </w:p>
    <w:p>
      <w:pPr>
        <w:pStyle w:val="BodyText"/>
      </w:pPr>
      <m:oMathPara>
        <m:oMathParaPr>
          <m:jc m:val="center"/>
        </m:oMathParaPr>
        <m:oMath>
          <m:sSub>
            <m:e>
              <m:r>
                <m:t>d</m:t>
              </m:r>
            </m:e>
            <m:sub>
              <m:r>
                <m:rPr>
                  <m:sty m:val="p"/>
                </m:rPr>
                <m:t>t</m:t>
              </m:r>
              <m:r>
                <m:rPr>
                  <m:sty m:val="p"/>
                </m:rPr>
                <m:t>r</m:t>
              </m:r>
              <m:r>
                <m:rPr>
                  <m:sty m:val="p"/>
                </m:rPr>
                <m:t>a</m:t>
              </m:r>
              <m:r>
                <m:rPr>
                  <m:sty m:val="p"/>
                </m:rPr>
                <m:t>n</m:t>
              </m:r>
              <m:r>
                <m:rPr>
                  <m:sty m:val="p"/>
                </m:rPr>
                <m:t>s</m:t>
              </m:r>
              <m:r>
                <m:rPr>
                  <m:sty m:val="p"/>
                </m:rPr>
                <m:t>i</m:t>
              </m:r>
              <m:r>
                <m:rPr>
                  <m:sty m:val="p"/>
                </m:rPr>
                <m:t>t</m:t>
              </m:r>
              <m:r>
                <m:rPr>
                  <m:sty m:val="p"/>
                </m:rPr>
                <m:t>i</m:t>
              </m:r>
              <m:r>
                <m:rPr>
                  <m:sty m:val="p"/>
                </m:rPr>
                <m:t>o</m:t>
              </m:r>
              <m:r>
                <m:rPr>
                  <m:sty m:val="p"/>
                </m:rPr>
                <m:t>n</m:t>
              </m:r>
            </m:sub>
          </m:sSub>
          <m:r>
            <m:rPr>
              <m:sty m:val="p"/>
            </m:rPr>
            <m:t>(</m:t>
          </m:r>
          <m:r>
            <m:rPr>
              <m:sty m:val="b"/>
            </m:rPr>
            <m:t>x</m:t>
          </m:r>
          <m:r>
            <m:rPr>
              <m:sty m:val="p"/>
            </m:rPr>
            <m:t>)</m:t>
          </m:r>
          <m:r>
            <m:rPr>
              <m:sty m:val="p"/>
            </m:rPr>
            <m:t>=</m:t>
          </m:r>
          <m:sSub>
            <m:e>
              <m:acc>
                <m:accPr>
                  <m:chr m:val="̂"/>
                </m:accPr>
                <m:e>
                  <m:r>
                    <m:t>d</m:t>
                  </m:r>
                </m:e>
              </m:acc>
            </m:e>
            <m:sub>
              <m:r>
                <m:rPr>
                  <m:sty m:val="p"/>
                </m:rPr>
                <m:t>t</m:t>
              </m:r>
              <m:r>
                <m:rPr>
                  <m:sty m:val="p"/>
                </m:rPr>
                <m:t>r</m:t>
              </m:r>
              <m:r>
                <m:rPr>
                  <m:sty m:val="p"/>
                </m:rPr>
                <m:t>a</m:t>
              </m:r>
              <m:r>
                <m:rPr>
                  <m:sty m:val="p"/>
                </m:rPr>
                <m:t>n</m:t>
              </m:r>
              <m:r>
                <m:rPr>
                  <m:sty m:val="p"/>
                </m:rPr>
                <m:t>s</m:t>
              </m:r>
              <m:r>
                <m:rPr>
                  <m:sty m:val="p"/>
                </m:rPr>
                <m:t>i</m:t>
              </m:r>
              <m:r>
                <m:rPr>
                  <m:sty m:val="p"/>
                </m:rPr>
                <m:t>t</m:t>
              </m:r>
              <m:r>
                <m:rPr>
                  <m:sty m:val="p"/>
                </m:rPr>
                <m:t>i</m:t>
              </m:r>
              <m:r>
                <m:rPr>
                  <m:sty m:val="p"/>
                </m:rPr>
                <m:t>o</m:t>
              </m:r>
              <m:r>
                <m:rPr>
                  <m:sty m:val="p"/>
                </m:rPr>
                <m:t>n</m:t>
              </m:r>
              <m:r>
                <m:rPr>
                  <m:sty m:val="p"/>
                </m:rPr>
                <m:t>,</m:t>
              </m:r>
              <m:r>
                <m:rPr>
                  <m:sty m:val="p"/>
                </m:rPr>
                <m:t>o</m:t>
              </m:r>
              <m:r>
                <m:rPr>
                  <m:sty m:val="p"/>
                </m:rPr>
                <m:t>b</m:t>
              </m:r>
              <m:r>
                <m:rPr>
                  <m:sty m:val="p"/>
                </m:rPr>
                <m:t>s</m:t>
              </m:r>
            </m:sub>
          </m:sSub>
          <m:r>
            <m:rPr>
              <m:sty m:val="p"/>
            </m:rPr>
            <m:t>(</m:t>
          </m:r>
          <m:r>
            <m:rPr>
              <m:sty m:val="b"/>
            </m:rPr>
            <m:t>x</m:t>
          </m:r>
          <m:r>
            <m:rPr>
              <m:sty m:val="p"/>
            </m:rPr>
            <m:t>)</m:t>
          </m:r>
          <m:r>
            <m:rPr>
              <m:sty m:val="p"/>
            </m:rPr>
            <m:t>+</m:t>
          </m:r>
          <m:sSub>
            <m:e>
              <m:r>
                <m:t>d</m:t>
              </m:r>
            </m:e>
            <m:sub>
              <m:r>
                <m:rPr>
                  <m:sty m:val="p"/>
                </m:rPr>
                <m:t>L</m:t>
              </m:r>
              <m:r>
                <m:rPr>
                  <m:sty m:val="p"/>
                </m:rPr>
                <m:t>A</m:t>
              </m:r>
              <m:r>
                <m:rPr>
                  <m:sty m:val="p"/>
                </m:rPr>
                <m:t>F</m:t>
              </m:r>
            </m:sub>
          </m:sSub>
          <m:r>
            <m:rPr>
              <m:sty m:val="p"/>
            </m:rPr>
            <m:t>(</m:t>
          </m:r>
          <m:r>
            <m:rPr>
              <m:sty m:val="b"/>
            </m:rPr>
            <m:t>x</m:t>
          </m:r>
          <m:r>
            <m:rPr>
              <m:sty m:val="p"/>
            </m:rPr>
            <m:t>)</m:t>
          </m:r>
        </m:oMath>
      </m:oMathPara>
    </w:p>
    <w:p>
      <w:pPr>
        <w:pStyle w:val="FirstParagraph"/>
      </w:pPr>
      <w:r>
        <w:t xml:space="preserve">where</w:t>
      </w:r>
      <w:r>
        <w:t xml:space="preserve"> </w:t>
      </w:r>
      <m:oMath>
        <m:sSub>
          <m:e>
            <m:r>
              <m:t>d</m:t>
            </m:r>
          </m:e>
          <m:sub>
            <m:r>
              <m:rPr>
                <m:sty m:val="p"/>
              </m:rPr>
              <m:t>L</m:t>
            </m:r>
            <m:r>
              <m:rPr>
                <m:sty m:val="p"/>
              </m:rPr>
              <m:t>A</m:t>
            </m:r>
            <m:r>
              <m:rPr>
                <m:sty m:val="p"/>
              </m:rPr>
              <m:t>F</m:t>
            </m:r>
          </m:sub>
        </m:sSub>
        <m:r>
          <m:rPr>
            <m:sty m:val="p"/>
          </m:rPr>
          <m:t>(</m:t>
        </m:r>
        <m:r>
          <m:rPr>
            <m:sty m:val="b"/>
          </m:rPr>
          <m:t>x</m:t>
        </m:r>
        <m:r>
          <m:rPr>
            <m:sty m:val="p"/>
          </m:rPr>
          <m:t>)</m:t>
        </m:r>
      </m:oMath>
      <w:r>
        <w:t xml:space="preserve"> </w:t>
      </w:r>
      <w:r>
        <w:t xml:space="preserve">is the distance from grid cell</w:t>
      </w:r>
      <w:r>
        <w:t xml:space="preserve"> </w:t>
      </w:r>
      <m:oMath>
        <m:r>
          <m:rPr>
            <m:sty m:val="b"/>
          </m:rPr>
          <m:t>x</m:t>
        </m:r>
      </m:oMath>
      <w:r>
        <w:t xml:space="preserve"> </w:t>
      </w:r>
      <w:r>
        <w:t xml:space="preserve">to the nearest cell with an accepted local LAF observation.</w:t>
      </w:r>
    </w:p>
    <w:p>
      <w:pPr>
        <w:pStyle w:val="BodyText"/>
      </w:pPr>
      <w:r>
        <w:t xml:space="preserve">This approach ensures that the transition-distance proxy increases linearly away from data-supported LAF estimates.</w:t>
      </w:r>
    </w:p>
    <w:bookmarkEnd w:id="24"/>
    <w:bookmarkStart w:id="25" w:name="conversion-to-anisotropy-ratio"/>
    <w:p>
      <w:pPr>
        <w:pStyle w:val="Heading1"/>
      </w:pPr>
      <w:r>
        <w:t xml:space="preserve">Conversion to anisotropy ratio</w:t>
      </w:r>
    </w:p>
    <w:p>
      <w:pPr>
        <w:pStyle w:val="FirstParagraph"/>
      </w:pPr>
      <w:r>
        <w:t xml:space="preserve">For kriging, the interpolated transition-distance proxy is converted to a local minor range. Given a fixed major range</w:t>
      </w:r>
      <w:r>
        <w:t xml:space="preserve"> </w:t>
      </w:r>
      <m:oMath>
        <m:sSub>
          <m:e>
            <m:r>
              <m:t>a</m:t>
            </m:r>
          </m:e>
          <m:sub>
            <m:r>
              <m:rPr>
                <m:sty m:val="p"/>
              </m:rPr>
              <m:t>m</m:t>
            </m:r>
            <m:r>
              <m:rPr>
                <m:sty m:val="p"/>
              </m:rPr>
              <m:t>a</m:t>
            </m:r>
            <m:r>
              <m:rPr>
                <m:sty m:val="p"/>
              </m:rPr>
              <m:t>j</m:t>
            </m:r>
            <m:r>
              <m:rPr>
                <m:sty m:val="p"/>
              </m:rPr>
              <m:t>o</m:t>
            </m:r>
            <m:r>
              <m:rPr>
                <m:sty m:val="p"/>
              </m:rPr>
              <m:t>r</m:t>
            </m:r>
          </m:sub>
        </m:sSub>
      </m:oMath>
      <w:r>
        <w:t xml:space="preserve"> </w:t>
      </w:r>
      <w:r>
        <w:t xml:space="preserve">and a minimum minor range</w:t>
      </w:r>
      <w:r>
        <w:t xml:space="preserve"> </w:t>
      </w:r>
      <m:oMath>
        <m:sSub>
          <m:e>
            <m:r>
              <m:t>a</m:t>
            </m:r>
          </m:e>
          <m:sub>
            <m:r>
              <m:rPr>
                <m:sty m:val="p"/>
              </m:rPr>
              <m:t>m</m:t>
            </m:r>
            <m:r>
              <m:rPr>
                <m:sty m:val="p"/>
              </m:rPr>
              <m:t>i</m:t>
            </m:r>
            <m:r>
              <m:rPr>
                <m:sty m:val="p"/>
              </m:rPr>
              <m:t>n</m:t>
            </m:r>
            <m:r>
              <m:rPr>
                <m:sty m:val="p"/>
              </m:rPr>
              <m:t>o</m:t>
            </m:r>
            <m:r>
              <m:rPr>
                <m:sty m:val="p"/>
              </m:rPr>
              <m:t>r</m:t>
            </m:r>
            <m:r>
              <m:rPr>
                <m:sty m:val="p"/>
              </m:rPr>
              <m:t>,</m:t>
            </m:r>
            <m:r>
              <m:rPr>
                <m:sty m:val="p"/>
              </m:rPr>
              <m:t>m</m:t>
            </m:r>
            <m:r>
              <m:rPr>
                <m:sty m:val="p"/>
              </m:rPr>
              <m:t>i</m:t>
            </m:r>
            <m:r>
              <m:rPr>
                <m:sty m:val="p"/>
              </m:rPr>
              <m:t>n</m:t>
            </m:r>
          </m:sub>
        </m:sSub>
      </m:oMath>
      <w:r>
        <w:t xml:space="preserve">, the local minor range is defined as:</w:t>
      </w:r>
    </w:p>
    <w:p>
      <w:pPr>
        <w:pStyle w:val="BodyText"/>
      </w:pPr>
      <m:oMathPara>
        <m:oMathParaPr>
          <m:jc m:val="center"/>
        </m:oMathParaPr>
        <m:oMath>
          <m:sSub>
            <m:e>
              <m:r>
                <m:t>a</m:t>
              </m:r>
            </m:e>
            <m:sub>
              <m:r>
                <m:rPr>
                  <m:sty m:val="p"/>
                </m:rPr>
                <m:t>m</m:t>
              </m:r>
              <m:r>
                <m:rPr>
                  <m:sty m:val="p"/>
                </m:rPr>
                <m:t>i</m:t>
              </m:r>
              <m:r>
                <m:rPr>
                  <m:sty m:val="p"/>
                </m:rPr>
                <m:t>n</m:t>
              </m:r>
              <m:r>
                <m:rPr>
                  <m:sty m:val="p"/>
                </m:rPr>
                <m:t>o</m:t>
              </m:r>
              <m:r>
                <m:rPr>
                  <m:sty m:val="p"/>
                </m:rPr>
                <m:t>r</m:t>
              </m:r>
            </m:sub>
          </m:sSub>
          <m:r>
            <m:rPr>
              <m:sty m:val="p"/>
            </m:rPr>
            <m:t>(</m:t>
          </m:r>
          <m:r>
            <m:rPr>
              <m:sty m:val="b"/>
            </m:rPr>
            <m:t>x</m:t>
          </m:r>
          <m:r>
            <m:rPr>
              <m:sty m:val="p"/>
            </m:rPr>
            <m:t>)</m:t>
          </m:r>
          <m:r>
            <m:rPr>
              <m:sty m:val="p"/>
            </m:rPr>
            <m:t>=</m:t>
          </m:r>
          <m:r>
            <m:rPr>
              <m:sty m:val="p"/>
            </m:rPr>
            <m:t>clip</m:t>
          </m:r>
          <m:d>
            <m:dPr>
              <m:begChr m:val="("/>
              <m:sepChr m:val=""/>
              <m:endChr m:val=")"/>
              <m:grow/>
            </m:dPr>
            <m:e>
              <m:sSub>
                <m:e>
                  <m:r>
                    <m:t>d</m:t>
                  </m:r>
                </m:e>
                <m:sub>
                  <m:r>
                    <m:rPr>
                      <m:sty m:val="p"/>
                    </m:rPr>
                    <m:t>t</m:t>
                  </m:r>
                  <m:r>
                    <m:rPr>
                      <m:sty m:val="p"/>
                    </m:rPr>
                    <m:t>r</m:t>
                  </m:r>
                  <m:r>
                    <m:rPr>
                      <m:sty m:val="p"/>
                    </m:rPr>
                    <m:t>a</m:t>
                  </m:r>
                  <m:r>
                    <m:rPr>
                      <m:sty m:val="p"/>
                    </m:rPr>
                    <m:t>n</m:t>
                  </m:r>
                  <m:r>
                    <m:rPr>
                      <m:sty m:val="p"/>
                    </m:rPr>
                    <m:t>s</m:t>
                  </m:r>
                  <m:r>
                    <m:rPr>
                      <m:sty m:val="p"/>
                    </m:rPr>
                    <m:t>i</m:t>
                  </m:r>
                  <m:r>
                    <m:rPr>
                      <m:sty m:val="p"/>
                    </m:rPr>
                    <m:t>t</m:t>
                  </m:r>
                  <m:r>
                    <m:rPr>
                      <m:sty m:val="p"/>
                    </m:rPr>
                    <m:t>i</m:t>
                  </m:r>
                  <m:r>
                    <m:rPr>
                      <m:sty m:val="p"/>
                    </m:rPr>
                    <m:t>o</m:t>
                  </m:r>
                  <m:r>
                    <m:rPr>
                      <m:sty m:val="p"/>
                    </m:rPr>
                    <m:t>n</m:t>
                  </m:r>
                </m:sub>
              </m:sSub>
              <m:r>
                <m:rPr>
                  <m:sty m:val="p"/>
                </m:rPr>
                <m:t>(</m:t>
              </m:r>
              <m:r>
                <m:rPr>
                  <m:sty m:val="b"/>
                </m:rPr>
                <m:t>x</m:t>
              </m:r>
              <m:r>
                <m:rPr>
                  <m:sty m:val="p"/>
                </m:rPr>
                <m:t>)</m:t>
              </m:r>
              <m:r>
                <m:rPr>
                  <m:sty m:val="p"/>
                </m:rPr>
                <m:t>,</m:t>
              </m:r>
              <m:sSub>
                <m:e>
                  <m:r>
                    <m:t>a</m:t>
                  </m:r>
                </m:e>
                <m:sub>
                  <m:r>
                    <m:rPr>
                      <m:sty m:val="p"/>
                    </m:rPr>
                    <m:t>m</m:t>
                  </m:r>
                  <m:r>
                    <m:rPr>
                      <m:sty m:val="p"/>
                    </m:rPr>
                    <m:t>i</m:t>
                  </m:r>
                  <m:r>
                    <m:rPr>
                      <m:sty m:val="p"/>
                    </m:rPr>
                    <m:t>n</m:t>
                  </m:r>
                  <m:r>
                    <m:rPr>
                      <m:sty m:val="p"/>
                    </m:rPr>
                    <m:t>o</m:t>
                  </m:r>
                  <m:r>
                    <m:rPr>
                      <m:sty m:val="p"/>
                    </m:rPr>
                    <m:t>r</m:t>
                  </m:r>
                  <m:r>
                    <m:rPr>
                      <m:sty m:val="p"/>
                    </m:rPr>
                    <m:t>,</m:t>
                  </m:r>
                  <m:r>
                    <m:rPr>
                      <m:sty m:val="p"/>
                    </m:rPr>
                    <m:t>m</m:t>
                  </m:r>
                  <m:r>
                    <m:rPr>
                      <m:sty m:val="p"/>
                    </m:rPr>
                    <m:t>i</m:t>
                  </m:r>
                  <m:r>
                    <m:rPr>
                      <m:sty m:val="p"/>
                    </m:rPr>
                    <m:t>n</m:t>
                  </m:r>
                </m:sub>
              </m:sSub>
              <m:r>
                <m:rPr>
                  <m:sty m:val="p"/>
                </m:rPr>
                <m:t>,</m:t>
              </m:r>
              <m:sSub>
                <m:e>
                  <m:r>
                    <m:t>a</m:t>
                  </m:r>
                </m:e>
                <m:sub>
                  <m:r>
                    <m:rPr>
                      <m:sty m:val="p"/>
                    </m:rPr>
                    <m:t>m</m:t>
                  </m:r>
                  <m:r>
                    <m:rPr>
                      <m:sty m:val="p"/>
                    </m:rPr>
                    <m:t>a</m:t>
                  </m:r>
                  <m:r>
                    <m:rPr>
                      <m:sty m:val="p"/>
                    </m:rPr>
                    <m:t>j</m:t>
                  </m:r>
                  <m:r>
                    <m:rPr>
                      <m:sty m:val="p"/>
                    </m:rPr>
                    <m:t>o</m:t>
                  </m:r>
                  <m:r>
                    <m:rPr>
                      <m:sty m:val="p"/>
                    </m:rPr>
                    <m:t>r</m:t>
                  </m:r>
                </m:sub>
              </m:sSub>
            </m:e>
          </m:d>
        </m:oMath>
      </m:oMathPara>
    </w:p>
    <w:p>
      <w:pPr>
        <w:pStyle w:val="FirstParagraph"/>
      </w:pPr>
      <w:r>
        <w:t xml:space="preserve">The local anisotropy ratio is then:</w:t>
      </w:r>
    </w:p>
    <w:p>
      <w:pPr>
        <w:pStyle w:val="BodyText"/>
      </w:pPr>
      <m:oMathPara>
        <m:oMathParaPr>
          <m:jc m:val="center"/>
        </m:oMathParaPr>
        <m:oMath>
          <m:sSub>
            <m:e>
              <m:r>
                <m:t>r</m:t>
              </m:r>
            </m:e>
            <m:sub>
              <m:r>
                <m:rPr>
                  <m:sty m:val="p"/>
                </m:rPr>
                <m:t>L</m:t>
              </m:r>
              <m:r>
                <m:rPr>
                  <m:sty m:val="p"/>
                </m:rPr>
                <m:t>A</m:t>
              </m:r>
              <m:r>
                <m:rPr>
                  <m:sty m:val="p"/>
                </m:rPr>
                <m:t>F</m:t>
              </m:r>
            </m:sub>
          </m:sSub>
          <m:r>
            <m:rPr>
              <m:sty m:val="p"/>
            </m:rPr>
            <m:t>(</m:t>
          </m:r>
          <m:r>
            <m:rPr>
              <m:sty m:val="b"/>
            </m:rPr>
            <m:t>x</m:t>
          </m:r>
          <m:r>
            <m:rPr>
              <m:sty m:val="p"/>
            </m:rPr>
            <m:t>)</m:t>
          </m:r>
          <m:r>
            <m:rPr>
              <m:sty m:val="p"/>
            </m:rPr>
            <m:t>=</m:t>
          </m:r>
          <m:f>
            <m:fPr>
              <m:type m:val="bar"/>
            </m:fPr>
            <m:num>
              <m:sSub>
                <m:e>
                  <m:r>
                    <m:t>a</m:t>
                  </m:r>
                </m:e>
                <m:sub>
                  <m:r>
                    <m:rPr>
                      <m:sty m:val="p"/>
                    </m:rPr>
                    <m:t>m</m:t>
                  </m:r>
                  <m:r>
                    <m:rPr>
                      <m:sty m:val="p"/>
                    </m:rPr>
                    <m:t>i</m:t>
                  </m:r>
                  <m:r>
                    <m:rPr>
                      <m:sty m:val="p"/>
                    </m:rPr>
                    <m:t>n</m:t>
                  </m:r>
                  <m:r>
                    <m:rPr>
                      <m:sty m:val="p"/>
                    </m:rPr>
                    <m:t>o</m:t>
                  </m:r>
                  <m:r>
                    <m:rPr>
                      <m:sty m:val="p"/>
                    </m:rPr>
                    <m:t>r</m:t>
                  </m:r>
                </m:sub>
              </m:sSub>
              <m:r>
                <m:rPr>
                  <m:sty m:val="p"/>
                </m:rPr>
                <m:t>(</m:t>
              </m:r>
              <m:r>
                <m:rPr>
                  <m:sty m:val="b"/>
                </m:rPr>
                <m:t>x</m:t>
              </m:r>
              <m:r>
                <m:rPr>
                  <m:sty m:val="p"/>
                </m:rPr>
                <m:t>)</m:t>
              </m:r>
            </m:num>
            <m:den>
              <m:sSub>
                <m:e>
                  <m:r>
                    <m:t>a</m:t>
                  </m:r>
                </m:e>
                <m:sub>
                  <m:r>
                    <m:rPr>
                      <m:sty m:val="p"/>
                    </m:rPr>
                    <m:t>m</m:t>
                  </m:r>
                  <m:r>
                    <m:rPr>
                      <m:sty m:val="p"/>
                    </m:rPr>
                    <m:t>a</m:t>
                  </m:r>
                  <m:r>
                    <m:rPr>
                      <m:sty m:val="p"/>
                    </m:rPr>
                    <m:t>j</m:t>
                  </m:r>
                  <m:r>
                    <m:rPr>
                      <m:sty m:val="p"/>
                    </m:rPr>
                    <m:t>o</m:t>
                  </m:r>
                  <m:r>
                    <m:rPr>
                      <m:sty m:val="p"/>
                    </m:rPr>
                    <m:t>r</m:t>
                  </m:r>
                </m:sub>
              </m:sSub>
            </m:den>
          </m:f>
        </m:oMath>
      </m:oMathPara>
    </w:p>
    <w:p>
      <w:pPr>
        <w:pStyle w:val="FirstParagraph"/>
      </w:pPr>
      <w:r>
        <w:t xml:space="preserve">Thus:</w:t>
      </w:r>
    </w:p>
    <w:p>
      <w:pPr>
        <w:pStyle w:val="BodyText"/>
      </w:pPr>
      <m:oMathPara>
        <m:oMathParaPr>
          <m:jc m:val="center"/>
        </m:oMathParaPr>
        <m:oMath>
          <m:sSub>
            <m:e>
              <m:r>
                <m:t>r</m:t>
              </m:r>
            </m:e>
            <m:sub>
              <m:r>
                <m:rPr>
                  <m:sty m:val="p"/>
                </m:rPr>
                <m:t>L</m:t>
              </m:r>
              <m:r>
                <m:rPr>
                  <m:sty m:val="p"/>
                </m:rPr>
                <m:t>A</m:t>
              </m:r>
              <m:r>
                <m:rPr>
                  <m:sty m:val="p"/>
                </m:rPr>
                <m:t>F</m:t>
              </m:r>
            </m:sub>
          </m:sSub>
          <m:r>
            <m:rPr>
              <m:sty m:val="p"/>
            </m:rPr>
            <m:t>=</m:t>
          </m:r>
          <m:r>
            <m:t>1</m:t>
          </m:r>
        </m:oMath>
      </m:oMathPara>
    </w:p>
    <w:p>
      <w:pPr>
        <w:pStyle w:val="FirstParagraph"/>
      </w:pPr>
      <w:r>
        <w:t xml:space="preserve">corresponds to isotropic interpolation, while smaller values indicate stronger anisotropy. For example, with:</w:t>
      </w:r>
    </w:p>
    <w:p>
      <w:pPr>
        <w:pStyle w:val="BodyText"/>
      </w:pPr>
      <m:oMathPara>
        <m:oMathParaPr>
          <m:jc m:val="center"/>
        </m:oMathParaPr>
        <m:oMath>
          <m:sSub>
            <m:e>
              <m:r>
                <m:t>a</m:t>
              </m:r>
            </m:e>
            <m:sub>
              <m:r>
                <m:rPr>
                  <m:sty m:val="p"/>
                </m:rPr>
                <m:t>m</m:t>
              </m:r>
              <m:r>
                <m:rPr>
                  <m:sty m:val="p"/>
                </m:rPr>
                <m:t>a</m:t>
              </m:r>
              <m:r>
                <m:rPr>
                  <m:sty m:val="p"/>
                </m:rPr>
                <m:t>j</m:t>
              </m:r>
              <m:r>
                <m:rPr>
                  <m:sty m:val="p"/>
                </m:rPr>
                <m:t>o</m:t>
              </m:r>
              <m:r>
                <m:rPr>
                  <m:sty m:val="p"/>
                </m:rPr>
                <m:t>r</m:t>
              </m:r>
            </m:sub>
          </m:sSub>
          <m:r>
            <m:rPr>
              <m:sty m:val="p"/>
            </m:rPr>
            <m:t>=</m:t>
          </m:r>
          <m:r>
            <m:t>1000</m:t>
          </m:r>
          <m:r>
            <m:t> </m:t>
          </m:r>
          <m:r>
            <m:rPr>
              <m:sty m:val="p"/>
            </m:rPr>
            <m:t>m</m:t>
          </m:r>
        </m:oMath>
      </m:oMathPara>
    </w:p>
    <w:p>
      <w:pPr>
        <w:pStyle w:val="FirstParagraph"/>
      </w:pPr>
      <w:r>
        <w:t xml:space="preserve">and:</w:t>
      </w:r>
    </w:p>
    <w:p>
      <w:pPr>
        <w:pStyle w:val="BodyText"/>
      </w:pPr>
      <m:oMathPara>
        <m:oMathParaPr>
          <m:jc m:val="center"/>
        </m:oMathParaPr>
        <m:oMath>
          <m:sSub>
            <m:e>
              <m:r>
                <m:t>a</m:t>
              </m:r>
            </m:e>
            <m:sub>
              <m:r>
                <m:rPr>
                  <m:sty m:val="p"/>
                </m:rPr>
                <m:t>m</m:t>
              </m:r>
              <m:r>
                <m:rPr>
                  <m:sty m:val="p"/>
                </m:rPr>
                <m:t>i</m:t>
              </m:r>
              <m:r>
                <m:rPr>
                  <m:sty m:val="p"/>
                </m:rPr>
                <m:t>n</m:t>
              </m:r>
              <m:r>
                <m:rPr>
                  <m:sty m:val="p"/>
                </m:rPr>
                <m:t>o</m:t>
              </m:r>
              <m:r>
                <m:rPr>
                  <m:sty m:val="p"/>
                </m:rPr>
                <m:t>r</m:t>
              </m:r>
              <m:r>
                <m:rPr>
                  <m:sty m:val="p"/>
                </m:rPr>
                <m:t>,</m:t>
              </m:r>
              <m:r>
                <m:rPr>
                  <m:sty m:val="p"/>
                </m:rPr>
                <m:t>m</m:t>
              </m:r>
              <m:r>
                <m:rPr>
                  <m:sty m:val="p"/>
                </m:rPr>
                <m:t>i</m:t>
              </m:r>
              <m:r>
                <m:rPr>
                  <m:sty m:val="p"/>
                </m:rPr>
                <m:t>n</m:t>
              </m:r>
            </m:sub>
          </m:sSub>
          <m:r>
            <m:rPr>
              <m:sty m:val="p"/>
            </m:rPr>
            <m:t>=</m:t>
          </m:r>
          <m:r>
            <m:t>100</m:t>
          </m:r>
          <m:r>
            <m:t> </m:t>
          </m:r>
          <m:r>
            <m:rPr>
              <m:sty m:val="p"/>
            </m:rPr>
            <m:t>m</m:t>
          </m:r>
        </m:oMath>
      </m:oMathPara>
    </w:p>
    <w:p>
      <w:pPr>
        <w:pStyle w:val="FirstParagraph"/>
      </w:pPr>
      <w:r>
        <w:t xml:space="preserve">the anisotropy ratio is constrained to:</w:t>
      </w:r>
    </w:p>
    <w:p>
      <w:pPr>
        <w:pStyle w:val="BodyText"/>
      </w:pPr>
      <m:oMathPara>
        <m:oMathParaPr>
          <m:jc m:val="center"/>
        </m:oMathParaPr>
        <m:oMath>
          <m:r>
            <m:t>0.1</m:t>
          </m:r>
          <m:r>
            <m:rPr>
              <m:sty m:val="p"/>
            </m:rPr>
            <m:t>≤</m:t>
          </m:r>
          <m:sSub>
            <m:e>
              <m:r>
                <m:t>r</m:t>
              </m:r>
            </m:e>
            <m:sub>
              <m:r>
                <m:rPr>
                  <m:sty m:val="p"/>
                </m:rPr>
                <m:t>L</m:t>
              </m:r>
              <m:r>
                <m:rPr>
                  <m:sty m:val="p"/>
                </m:rPr>
                <m:t>A</m:t>
              </m:r>
              <m:r>
                <m:rPr>
                  <m:sty m:val="p"/>
                </m:rPr>
                <m:t>F</m:t>
              </m:r>
            </m:sub>
          </m:sSub>
          <m:r>
            <m:rPr>
              <m:sty m:val="p"/>
            </m:rPr>
            <m:t>≤</m:t>
          </m:r>
          <m:r>
            <m:t>1.0</m:t>
          </m:r>
        </m:oMath>
      </m:oMathPara>
    </w:p>
    <w:p>
      <w:pPr>
        <w:pStyle w:val="FirstParagraph"/>
      </w:pPr>
      <w:r>
        <w:t xml:space="preserve">The final LAF used for kriging therefore consists of:</w:t>
      </w:r>
    </w:p>
    <w:p>
      <w:pPr>
        <w:pStyle w:val="BodyText"/>
      </w:pPr>
      <m:oMathPara>
        <m:oMathParaPr>
          <m:jc m:val="center"/>
        </m:oMathParaPr>
        <m:oMath>
          <m:sSub>
            <m:e>
              <m:r>
                <m:t>θ</m:t>
              </m:r>
            </m:e>
            <m:sub>
              <m:r>
                <m:rPr>
                  <m:sty m:val="p"/>
                </m:rPr>
                <m:t>L</m:t>
              </m:r>
              <m:r>
                <m:rPr>
                  <m:sty m:val="p"/>
                </m:rPr>
                <m:t>A</m:t>
              </m:r>
              <m:r>
                <m:rPr>
                  <m:sty m:val="p"/>
                </m:rPr>
                <m:t>F</m:t>
              </m:r>
            </m:sub>
          </m:sSub>
          <m:r>
            <m:rPr>
              <m:sty m:val="p"/>
            </m:rPr>
            <m:t>(</m:t>
          </m:r>
          <m:r>
            <m:rPr>
              <m:sty m:val="b"/>
            </m:rPr>
            <m:t>x</m:t>
          </m:r>
          <m:r>
            <m:rPr>
              <m:sty m:val="p"/>
            </m:rPr>
            <m:t>)</m:t>
          </m:r>
        </m:oMath>
      </m:oMathPara>
    </w:p>
    <w:p>
      <w:pPr>
        <w:pStyle w:val="FirstParagraph"/>
      </w:pPr>
      <w:r>
        <w:t xml:space="preserve">the interpolated local major-axis angle, and:</w:t>
      </w:r>
    </w:p>
    <w:p>
      <w:pPr>
        <w:pStyle w:val="BodyText"/>
      </w:pPr>
      <m:oMathPara>
        <m:oMathParaPr>
          <m:jc m:val="center"/>
        </m:oMathParaPr>
        <m:oMath>
          <m:sSub>
            <m:e>
              <m:r>
                <m:t>r</m:t>
              </m:r>
            </m:e>
            <m:sub>
              <m:r>
                <m:rPr>
                  <m:sty m:val="p"/>
                </m:rPr>
                <m:t>L</m:t>
              </m:r>
              <m:r>
                <m:rPr>
                  <m:sty m:val="p"/>
                </m:rPr>
                <m:t>A</m:t>
              </m:r>
              <m:r>
                <m:rPr>
                  <m:sty m:val="p"/>
                </m:rPr>
                <m:t>F</m:t>
              </m:r>
            </m:sub>
          </m:sSub>
          <m:r>
            <m:rPr>
              <m:sty m:val="p"/>
            </m:rPr>
            <m:t>(</m:t>
          </m:r>
          <m:r>
            <m:rPr>
              <m:sty m:val="b"/>
            </m:rPr>
            <m:t>x</m:t>
          </m:r>
          <m:r>
            <m:rPr>
              <m:sty m:val="p"/>
            </m:rPr>
            <m:t>)</m:t>
          </m:r>
        </m:oMath>
      </m:oMathPara>
    </w:p>
    <w:p>
      <w:pPr>
        <w:pStyle w:val="FirstParagraph"/>
      </w:pPr>
      <w:r>
        <w:t xml:space="preserve">the local anisotropy ratio.</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oreProperties xmlns:dc="http://purl.org/dc/elements/1.1/" xmlns:dcterms="http://purl.org/dc/terms/" xmlns:xsi="http://www.w3.org/2001/XMLSchema-instance" xmlns="http://schemas.openxmlformats.org/package/2006/metadata/core-properties">
  <dc:title>Derivation of the Local Anisotropy Field</dc:title>
  <dc:creator>Dabekaussen, W. (Willem)</dc:creator>
  <keywords/>
  <dcterms:created xsi:type="dcterms:W3CDTF">2026-07-14T09:26:14.8056785Z</dcterms:created>
  <dcterms:modified xsi:type="dcterms:W3CDTF">2026-07-14T09:26:14.8056785Z</dcterms:modified>
  <lastModifiedBy>Dabekaussen, W. (Willem)</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July 2026</vt:lpwstr>
  </property>
  <property fmtid="{D5CDD505-2E9C-101B-9397-08002B2CF9AE}" pid="3" name="subtitle">
    <vt:lpwstr>Method description for kriging interpolation</vt:lpwstr>
  </property>
</Properties>
</file>