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0000"/>
        </w:rPr>
        <w:t>点界 PointVerse</w:t>
      </w:r>
    </w:p>
    <w:p>
      <w:pPr>
        <w:pStyle w:val="Subtitle"/>
      </w:pPr>
      <w:r>
        <w:rPr>
          <w:color w:val="000000"/>
        </w:rPr>
        <w:t>个人思考工具产品定义</w:t>
      </w:r>
    </w:p>
    <w:p>
      <w:r>
        <w:t>版本：v0.9 · 2026年9月9日</w:t>
      </w:r>
    </w:p>
    <w:p>
      <w:pPr>
        <w:pStyle w:val="Heading1"/>
      </w:pPr>
      <w:r>
        <w:rPr>
          <w:color w:val="000000"/>
        </w:rPr>
        <w:t>01  产品定位与本次更新</w:t>
      </w:r>
    </w:p>
    <w:p>
      <w:commentRangeStart w:id="0"/>
      <w:r>
        <w:t>点界 PointVerse 是面向个人思考者的本地优先思考工具，帮助用户捕获稍纵即逝的表达，保留当时的上下文，在需要时找回、连接并继续思考。对话形成点子，3D点图帮助探索关系；用户可主动显影、形成行动，并依据观察与反馈修正理解。近期优先服务好个人闭环，长期再演化为可协同的过程系统。</w:t>
      </w:r>
      <w:commentRangeEnd w:id="0"/>
      <w:r>
        <w:rPr>
          <w:rStyle w:val="CommentReference"/>
        </w:rPr>
        <w:commentReference w:id="0"/>
      </w:r>
    </w:p>
    <w:p>
      <w:pPr>
        <w:pStyle w:val="Heading2"/>
      </w:pPr>
      <w:r>
        <w:rPr>
          <w:color w:val="000000"/>
        </w:rPr>
        <w:t>产品主张</w:t>
      </w:r>
    </w:p>
    <w:p>
      <w:r>
        <w:t>像底片显影一样，让已有经历与想法在新的条件下显现意义。Point 保存原始线索，Play 提供新的观察与表达方式，用户决定哪些结果值得保留。</w:t>
      </w:r>
    </w:p>
    <w:p>
      <w:pPr>
        <w:pStyle w:val="Heading2"/>
      </w:pPr>
      <w:r>
        <w:rPr>
          <w:color w:val="000000"/>
        </w:rPr>
        <w:t>本次更新聚焦个人思考与上下文</w:t>
      </w:r>
    </w:p>
    <w:p>
      <w:r>
        <w:t>【v0.9 更新】目标用户收敛为个人思考者，以捕获困难、上下文流失、记录难复用和思路中断为核心问题。保留大对话流自动成点与3D主空间；新增上下文快照、显影条件记录，以及AI眼镜和Apple Watch入口的验证范围。</w:t>
      </w:r>
    </w:p>
    <w:p>
      <w:r>
        <w:t>【v0.9 更新】P0继续验证手机端个人闭环，并纳入最小上下文及显影溯源；可穿戴入口先研究、后试点，不作为首版交付依赖。第18—20节展开新增定义与验收建议。配套HTML交互原型和54项backlog仍为v0.8，本文不表示它们已同步更新。</w:t>
      </w:r>
    </w:p>
    <w:p>
      <w:pPr>
        <w:pStyle w:val="Heading2"/>
      </w:pPr>
      <w:r>
        <w:rPr>
          <w:color w:val="000000"/>
        </w:rPr>
        <w:t>产品原则</w:t>
      </w:r>
    </w:p>
    <w:p>
      <w:r>
        <w:t>原始记录可追溯；日常管理留在本地；模型生成由用户主动发起；每次生成可选择本地或远端能力；整理可撤销；新输出是否进入长期知识空间由用户决定。</w:t>
      </w:r>
    </w:p>
    <w:p>
      <w:pPr>
        <w:pStyle w:val="Heading1"/>
        <w:pageBreakBefore/>
      </w:pPr>
      <w:r>
        <w:rPr>
          <w:color w:val="000000"/>
        </w:rPr>
        <w:t>02  用户价值与核心概念</w:t>
      </w:r>
    </w:p>
    <w:p>
      <w:pPr>
        <w:pStyle w:val="Heading2"/>
      </w:pPr>
      <w:r>
        <w:rPr>
          <w:color w:val="000000"/>
        </w:rPr>
        <w:t>首批用户与核心问题</w:t>
      </w:r>
    </w:p>
    <w:p>
      <w:commentRangeStart w:id="1"/>
      <w:r>
        <w:t>【v0.9 用户方向】先服务好个人思考者：经常产生想法、问题和跨领域联想，需要把思考接续起来的人。创作者、产品构思者、研究者和学习者是招募场景，不以职业、既有记录习惯或特定诊断作为准入条件。首轮重点观察想法丢失、录入负担、上下文遗忘、找回困难和难以继续思考；具体用户任务与边界见第18节。</w:t>
      </w:r>
      <w:commentRangeEnd w:id="1"/>
      <w:r>
        <w:rPr>
          <w:rStyle w:val="CommentReference"/>
        </w:rPr>
        <w:commentReference w:id="1"/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shd w:fill="F2F4F7"/>
          </w:tcPr>
          <w:p>
            <w:pPr>
              <w:spacing w:after="80"/>
            </w:pPr>
            <w:r>
              <w:rPr>
                <w:b/>
              </w:rPr>
              <w:t>概念</w:t>
            </w:r>
          </w:p>
        </w:tc>
        <w:tc>
          <w:tcPr>
            <w:tcW w:type="dxa" w:w="7460"/>
            <w:shd w:fill="F2F4F7"/>
          </w:tcPr>
          <w:p>
            <w:pPr>
              <w:spacing w:after="80"/>
            </w:pPr>
            <w:r>
              <w:rPr>
                <w:b/>
              </w:rPr>
              <w:t>产品定义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80"/>
            </w:pPr>
            <w:r>
              <w:t>Point · 点</w:t>
            </w:r>
          </w:p>
        </w:tc>
        <w:tc>
          <w:tcPr>
            <w:tcW w:type="dxa" w:w="7460"/>
          </w:tcPr>
          <w:p>
            <w:r>
              <w:t>可独立引用的体验或想法单元；可尚未命名或解释，保留原文、附件、来源和时间。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80"/>
            </w:pPr>
            <w:r>
              <w:t>Play · 玩 / 解</w:t>
            </w:r>
          </w:p>
        </w:tc>
        <w:tc>
          <w:tcPr>
            <w:tcW w:type="dxa" w:w="7460"/>
          </w:tcPr>
          <w:p>
            <w:pPr>
              <w:spacing w:after="80"/>
            </w:pPr>
            <w:r>
              <w:t>用户主动对一个或多个点发起的理解、变换、表达或互动过程。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80"/>
            </w:pPr>
            <w:r>
              <w:t>显影结果</w:t>
            </w:r>
          </w:p>
        </w:tc>
        <w:tc>
          <w:tcPr>
            <w:tcW w:type="dxa" w:w="7460"/>
          </w:tcPr>
          <w:p>
            <w:pPr>
              <w:spacing w:after="80"/>
            </w:pPr>
            <w:r>
              <w:t>一次 Play 的输出，关联输入点、视角、模态和模型；不覆盖原始记录。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80"/>
            </w:pPr>
            <w:r>
              <w:t>关系与点簇</w:t>
            </w:r>
          </w:p>
        </w:tc>
        <w:tc>
          <w:tcPr>
            <w:tcW w:type="dxa" w:w="7460"/>
          </w:tcPr>
          <w:p>
            <w:pPr>
              <w:spacing w:after="80"/>
            </w:pPr>
            <w:r>
              <w:t>点之间的关联及主题组织。自动推断与用户确认应可区分。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80"/>
            </w:pPr>
            <w:r>
              <w:t>空间 / 点界</w:t>
            </w:r>
          </w:p>
        </w:tc>
        <w:tc>
          <w:tcPr>
            <w:tcW w:type="dxa" w:w="7460"/>
          </w:tcPr>
          <w:p>
            <w:pPr>
              <w:spacing w:after="80"/>
            </w:pPr>
            <w:r>
              <w:t>一个具有内容、关系与访问边界的点集合；可探索、可整理，首版默认私人。</w:t>
            </w:r>
          </w:p>
        </w:tc>
      </w:tr>
    </w:tbl>
    <w:p>
      <w:pPr>
        <w:pStyle w:val="Heading2"/>
      </w:pPr>
      <w:r>
        <w:rPr>
          <w:color w:val="000000"/>
        </w:rPr>
        <w:t>“反熵增”的可执行含义</w:t>
      </w:r>
    </w:p>
    <w:p>
      <w:r>
        <w:t>这里将反熵增作为产品隐喻，不声称直接测量热力学熵。产品要减少重复、降低找回成本、增加有意义的连接，让用户能看清自己已有的东西。只生成大量新内容而不整理，会背离这一目标。</w:t>
      </w:r>
    </w:p>
    <w:p>
      <w:r>
        <w:t>整理前保留原文；融合生成上层点并链接源点；分解保留父子关系；无价值的生成可丢弃；回看允许标记“有启发”“暂时跳过”“不再推荐”。减少点的数量不是唯一成功标准。</w:t>
      </w:r>
    </w:p>
    <w:p>
      <w:pPr>
        <w:pStyle w:val="Heading2"/>
      </w:pPr>
      <w:r>
        <w:rPr>
          <w:color w:val="000000"/>
        </w:rPr>
        <w:t>典型场景</w:t>
      </w:r>
    </w:p>
    <w:p>
      <w:r>
        <w:t>用户曾记录“学习像底片显影”，又保存了一张旧照片。数日后回看发现它们相关，选中两个点，使用“类比”视角生成短文；再把其中一个观点沉淀为新点，连接到正在写的文章。价值来自旧点被重新理解和使用。</w:t>
      </w:r>
    </w:p>
    <w:p>
      <w:pPr>
        <w:pStyle w:val="Heading1"/>
        <w:pageBreakBefore/>
      </w:pPr>
      <w:r>
        <w:rPr>
          <w:color w:val="000000"/>
        </w:rPr>
        <w:t>03  主流程与界面结构</w:t>
      </w:r>
    </w:p>
    <w:p>
      <w:pPr>
        <w:pStyle w:val="Heading2"/>
      </w:pPr>
      <w:r>
        <w:rPr>
          <w:color w:val="000000"/>
        </w:rPr>
        <w:t>核心闭环</w:t>
      </w:r>
    </w:p>
    <w:p>
      <w:r>
        <w:t>对话自动形成Point → 在3D空间找回与连接 → 主动Play → 选择保留结果 → 可选行动或探索分支 → 记录观测与反馈 → 回到原点修正理解。</w:t>
      </w:r>
    </w:p>
    <w:p>
      <w:pPr>
        <w:pStyle w:val="Heading2"/>
      </w:pPr>
      <w:r>
        <w:rPr>
          <w:color w:val="000000"/>
        </w:rPr>
        <w:t>空间首页</w:t>
      </w:r>
    </w:p>
    <w:p>
      <w:r>
        <w:t>【v0.8 更新】空间主视图为3D点图：旋转、缩放、点选、搜索定位和复位；仅突出选中点的直接关系。提供文字选择入口辅助定位；整理模式才允许移动与固定，避免浏览误操作。对话入口与空间可直接切换。</w:t>
      </w:r>
    </w:p>
    <w:p>
      <w:pPr>
        <w:pStyle w:val="Heading2"/>
      </w:pPr>
      <w:r>
        <w:rPr>
          <w:color w:val="000000"/>
        </w:rPr>
        <w:t>Point 详情</w:t>
      </w:r>
    </w:p>
    <w:p>
      <w:r>
        <w:t>展示原始内容、来源、附件、标签、关联和历史显影结果，并可展开“当时的上下文”。原文、用户补充与模型推断分开呈现。主操作为Play；编辑、关联、归档和删除保持可发现。显影历史显示使用的内容版本、上下文及模型，方便理解差异。</w:t>
      </w:r>
    </w:p>
    <w:p>
      <w:pPr>
        <w:pStyle w:val="Heading2"/>
      </w:pPr>
      <w:r>
        <w:rPr>
          <w:color w:val="000000"/>
        </w:rPr>
        <w:t>Play 面板</w:t>
      </w:r>
    </w:p>
    <w:p>
      <w:r>
        <w:t>先确认输入点，再选择目的或视角、输出形式、本地或远端模型。本次上下文独立列出，可选择原记录上下文并补充当前问题。远端调用前展示实际提交的文本、附件、关联点和上下文范围，以及预计费用或不可预估状态；不静默上传整个空间。</w:t>
      </w:r>
    </w:p>
    <w:p>
      <w:pPr>
        <w:pStyle w:val="Heading2"/>
      </w:pPr>
      <w:r>
        <w:rPr>
          <w:color w:val="000000"/>
        </w:rPr>
        <w:t>结果工作台</w:t>
      </w:r>
    </w:p>
    <w:p>
      <w:r>
        <w:t>生成过程中显示状态并允许取消；结果支持保存为点、附着于原点、再次 Play 或丢弃。再次生成创建新版本。保存前以草稿呈现，避免自动扩张主空间。</w:t>
      </w:r>
    </w:p>
    <w:p>
      <w:pPr>
        <w:pStyle w:val="Heading2"/>
      </w:pPr>
      <w:r>
        <w:rPr>
          <w:color w:val="000000"/>
        </w:rPr>
        <w:t>回看入口</w:t>
      </w:r>
    </w:p>
    <w:p>
      <w:r>
        <w:t>从“最近相关”“旧点重现”“随机漫游”进入短会话。每次推荐说明触发原因，例如主题相关或久未回看；用户可调节频率、跳过和关闭。首版采用简单规则，逐步验证个性化排序。</w:t>
      </w:r>
    </w:p>
    <w:p>
      <w:pPr>
        <w:pStyle w:val="Heading2"/>
      </w:pPr>
      <w:r>
        <w:rPr>
          <w:color w:val="000000"/>
        </w:rPr>
        <w:t>贯穿体验的控制</w:t>
      </w:r>
    </w:p>
    <w:p>
      <w:r>
        <w:t>持续可见的本地/远端状态；模型不可用时保留已选内容；断网不阻断记录和找回；删除与重组有恢复路径；减少动态效果设置不影响完成主要操作。</w:t>
      </w:r>
    </w:p>
    <w:p>
      <w:pPr>
        <w:pStyle w:val="Heading1"/>
        <w:pageBreakBefore/>
      </w:pPr>
      <w:r>
        <w:rPr>
          <w:color w:val="000000"/>
        </w:rPr>
        <w:t>04  Play 能力与图形操作</w:t>
      </w:r>
    </w:p>
    <w:p>
      <w:r>
        <w:t>模态决定输出载体，视角决定思考方式。比如“类比”既能形成文本，也能形成图片。不要把模型名称作为用户理解玩法的前提。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700"/>
        <w:gridCol w:w="5760"/>
        <w:gridCol w:w="1900"/>
      </w:tblGrid>
      <w:tr>
        <w:trPr>
          <w:cantSplit/>
        </w:trPr>
        <w:tc>
          <w:tcPr>
            <w:tcW w:type="dxa" w:w="1700"/>
            <w:shd w:fill="F2F4F7"/>
          </w:tcPr>
          <w:p>
            <w:pPr>
              <w:spacing w:after="80"/>
            </w:pPr>
            <w:r>
              <w:rPr>
                <w:b/>
              </w:rPr>
              <w:t>输出形式</w:t>
            </w:r>
          </w:p>
        </w:tc>
        <w:tc>
          <w:tcPr>
            <w:tcW w:type="dxa" w:w="5760"/>
            <w:shd w:fill="F2F4F7"/>
          </w:tcPr>
          <w:p>
            <w:pPr>
              <w:spacing w:after="80"/>
            </w:pPr>
            <w:r>
              <w:rPr>
                <w:b/>
              </w:rPr>
              <w:t>体验例子</w:t>
            </w:r>
          </w:p>
        </w:tc>
        <w:tc>
          <w:tcPr>
            <w:tcW w:type="dxa" w:w="1900"/>
            <w:shd w:fill="F2F4F7"/>
          </w:tcPr>
          <w:p>
            <w:pPr>
              <w:spacing w:after="80"/>
            </w:pPr>
            <w:r>
              <w:rPr>
                <w:b/>
              </w:rPr>
              <w:t>建议阶段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after="80"/>
            </w:pPr>
            <w:r>
              <w:t>文本</w:t>
            </w:r>
          </w:p>
        </w:tc>
        <w:tc>
          <w:tcPr>
            <w:tcW w:type="dxa" w:w="5760"/>
          </w:tcPr>
          <w:p>
            <w:pPr>
              <w:spacing w:after="80"/>
            </w:pPr>
            <w:r>
              <w:t>解释、类比、反问、故事、摘要</w:t>
            </w:r>
          </w:p>
        </w:tc>
        <w:tc>
          <w:tcPr>
            <w:tcW w:type="dxa" w:w="1900"/>
          </w:tcPr>
          <w:p>
            <w:pPr>
              <w:spacing w:after="80"/>
            </w:pPr>
            <w:r>
              <w:t>首版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after="80"/>
            </w:pPr>
            <w:r>
              <w:t>语音</w:t>
            </w:r>
          </w:p>
        </w:tc>
        <w:tc>
          <w:tcPr>
            <w:tcW w:type="dxa" w:w="5760"/>
          </w:tcPr>
          <w:p>
            <w:pPr>
              <w:spacing w:after="80"/>
            </w:pPr>
            <w:r>
              <w:t>朗读或口述解释；区分录音与生成</w:t>
            </w:r>
          </w:p>
        </w:tc>
        <w:tc>
          <w:tcPr>
            <w:tcW w:type="dxa" w:w="1900"/>
          </w:tcPr>
          <w:p>
            <w:pPr>
              <w:spacing w:after="80"/>
            </w:pPr>
            <w:r>
              <w:t>后续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after="80"/>
            </w:pPr>
            <w:r>
              <w:t>图片</w:t>
            </w:r>
          </w:p>
        </w:tc>
        <w:tc>
          <w:tcPr>
            <w:tcW w:type="dxa" w:w="5760"/>
          </w:tcPr>
          <w:p>
            <w:pPr>
              <w:spacing w:after="80"/>
            </w:pPr>
            <w:r>
              <w:t>把想法显影为视觉联想</w:t>
            </w:r>
          </w:p>
        </w:tc>
        <w:tc>
          <w:tcPr>
            <w:tcW w:type="dxa" w:w="1900"/>
          </w:tcPr>
          <w:p>
            <w:pPr>
              <w:spacing w:after="80"/>
            </w:pPr>
            <w:r>
              <w:t>后续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after="80"/>
            </w:pPr>
            <w:r>
              <w:t>音乐</w:t>
            </w:r>
          </w:p>
        </w:tc>
        <w:tc>
          <w:tcPr>
            <w:tcW w:type="dxa" w:w="5760"/>
          </w:tcPr>
          <w:p>
            <w:pPr>
              <w:spacing w:after="80"/>
            </w:pPr>
            <w:r>
              <w:t>围绕点的情绪或主题生成声音</w:t>
            </w:r>
          </w:p>
        </w:tc>
        <w:tc>
          <w:tcPr>
            <w:tcW w:type="dxa" w:w="1900"/>
          </w:tcPr>
          <w:p>
            <w:pPr>
              <w:spacing w:after="80"/>
            </w:pPr>
            <w:r>
              <w:t>探索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after="80"/>
            </w:pPr>
            <w:r>
              <w:t>动画 / 视频</w:t>
            </w:r>
          </w:p>
        </w:tc>
        <w:tc>
          <w:tcPr>
            <w:tcW w:type="dxa" w:w="5760"/>
          </w:tcPr>
          <w:p>
            <w:pPr>
              <w:spacing w:after="80"/>
            </w:pPr>
            <w:r>
              <w:t>表达过程、变化或叙事</w:t>
            </w:r>
          </w:p>
        </w:tc>
        <w:tc>
          <w:tcPr>
            <w:tcW w:type="dxa" w:w="1900"/>
          </w:tcPr>
          <w:p>
            <w:pPr>
              <w:spacing w:after="80"/>
            </w:pPr>
            <w:r>
              <w:t>探索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after="80"/>
            </w:pPr>
            <w:r>
              <w:t>游戏</w:t>
            </w:r>
          </w:p>
        </w:tc>
        <w:tc>
          <w:tcPr>
            <w:tcW w:type="dxa" w:w="5760"/>
          </w:tcPr>
          <w:p>
            <w:pPr>
              <w:spacing w:after="80"/>
            </w:pPr>
            <w:r>
              <w:t>以选择、推演、组合探索点的含义</w:t>
            </w:r>
          </w:p>
        </w:tc>
        <w:tc>
          <w:tcPr>
            <w:tcW w:type="dxa" w:w="1900"/>
          </w:tcPr>
          <w:p>
            <w:pPr>
              <w:spacing w:after="80"/>
            </w:pPr>
            <w:r>
              <w:t>后续原型</w:t>
            </w:r>
          </w:p>
        </w:tc>
      </w:tr>
    </w:tbl>
    <w:p>
      <w:pPr>
        <w:pStyle w:val="Heading2"/>
      </w:pPr>
      <w:r>
        <w:rPr>
          <w:color w:val="000000"/>
        </w:rPr>
        <w:t>空间操作的语义</w:t>
      </w:r>
    </w:p>
    <w:p>
      <w:r>
        <w:t>缩小：界面上查看更大范围；语义上把多个点提炼为上层概念。放大：界面上查看细节；语义上展开例子、依据和子问题。两种操作分别命名，避免缩放手势意外触发生成。</w:t>
      </w:r>
    </w:p>
    <w:p>
      <w:r>
        <w:t>融合：选中多个点，预览共同主题或新观点，再保存为新点。分解：将复杂点拆成子点，保留来源关系。旋转：切换观察视角，例如换立场、换时间尺度或提出反例；与3D镜头旋转分开操作。</w:t>
      </w:r>
    </w:p>
    <w:p>
      <w:r>
        <w:t>自动整理：建议标签、重复项、关联及聚类；布局调整可以自动进行，涉及语义合并或删除时需预览确认。用户固定的节点位置不被自动布局覆盖。</w:t>
      </w:r>
    </w:p>
    <w:p>
      <w:pPr>
        <w:pStyle w:val="Heading2"/>
      </w:pPr>
      <w:r>
        <w:rPr>
          <w:color w:val="000000"/>
        </w:rPr>
        <w:t>让 Play 真正可玩</w:t>
      </w:r>
    </w:p>
    <w:p>
      <w:r>
        <w:t>以轻量“组合实验”验证：用户选择两个点和一种反应方式，预测可能出现的联系，再揭示候选结果并选择保留。另一种玩法是从旧点出发做分支推演，每条路径形成可回溯的探索记录。</w:t>
      </w:r>
    </w:p>
    <w:p>
      <w:r>
        <w:t>反馈奖励发现与理解，不奖励无限生成。可玩性优先来自操纵点、看到变化、比较结果和保留发现；积分、连续签到及排行榜不属于首版必要能力。</w:t>
      </w:r>
    </w:p>
    <w:p>
      <w:pPr>
        <w:pStyle w:val="Heading1"/>
        <w:pageBreakBefore/>
      </w:pPr>
      <w:r>
        <w:rPr>
          <w:color w:val="000000"/>
        </w:rPr>
        <w:t>05  首版范围与验收标准</w:t>
      </w:r>
    </w:p>
    <w:p>
      <w:r>
        <w:t>首版交付私人、文本对话与3D点图闭环，记录最小上下文并保留显影来源；多模态输入分期接入。AI眼镜、Apple Watch及自动位置触发不作为首版依赖。以下性能数值为待验证目标，3D应在选定设备与数据规模上另行测试。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2000"/>
        <w:gridCol w:w="7360"/>
      </w:tblGrid>
      <w:tr>
        <w:trPr>
          <w:cantSplit/>
        </w:trPr>
        <w:tc>
          <w:tcPr>
            <w:tcW w:type="dxa" w:w="2000"/>
            <w:shd w:fill="F2F4F7"/>
          </w:tcPr>
          <w:p>
            <w:pPr>
              <w:spacing w:after="80"/>
            </w:pPr>
            <w:r>
              <w:rPr>
                <w:b/>
              </w:rPr>
              <w:t>功能</w:t>
            </w:r>
          </w:p>
        </w:tc>
        <w:tc>
          <w:tcPr>
            <w:tcW w:type="dxa" w:w="7360"/>
            <w:shd w:fill="F2F4F7"/>
          </w:tcPr>
          <w:p>
            <w:pPr>
              <w:spacing w:after="80"/>
            </w:pPr>
            <w:r>
              <w:rPr>
                <w:b/>
              </w:rPr>
              <w:t>最低可交付行为 / 验收</w:t>
            </w:r>
          </w:p>
        </w:tc>
      </w:tr>
      <w:tr>
        <w:trPr>
          <w:cantSplit/>
        </w:trPr>
        <w:tc>
          <w:tcPr>
            <w:tcW w:type="dxa" w:w="2000"/>
          </w:tcPr>
          <w:p>
            <w:pPr>
              <w:spacing w:after="80"/>
            </w:pPr>
            <w:r>
              <w:t>记录与保存</w:t>
            </w:r>
          </w:p>
        </w:tc>
        <w:tc>
          <w:tcPr>
            <w:tcW w:type="dxa" w:w="7360"/>
          </w:tcPr>
          <w:p>
            <w:pPr>
              <w:spacing w:after="80"/>
            </w:pPr>
            <w:r>
              <w:t>对话首次成功发送自动成点，后续追加到同一点；加密保存、重启恢复，未发送内容保留为草稿。</w:t>
            </w:r>
          </w:p>
        </w:tc>
      </w:tr>
      <w:tr>
        <w:trPr>
          <w:cantSplit/>
        </w:trPr>
        <w:tc>
          <w:tcPr>
            <w:tcW w:type="dxa" w:w="2000"/>
          </w:tcPr>
          <w:p>
            <w:pPr>
              <w:spacing w:after="80"/>
            </w:pPr>
            <w:r>
              <w:t>图形化空间</w:t>
            </w:r>
          </w:p>
        </w:tc>
        <w:tc>
          <w:tcPr>
            <w:tcW w:type="dxa" w:w="7360"/>
          </w:tcPr>
          <w:p>
            <w:r>
              <w:t>3D主空间支持旋转、缩放、点选、搜索定位与复位；文字入口辅助定位并可完成核心任务。</w:t>
            </w:r>
          </w:p>
        </w:tc>
      </w:tr>
      <w:tr>
        <w:trPr>
          <w:cantSplit/>
        </w:trPr>
        <w:tc>
          <w:tcPr>
            <w:tcW w:type="dxa" w:w="2000"/>
          </w:tcPr>
          <w:p>
            <w:pPr>
              <w:spacing w:after="80"/>
            </w:pPr>
            <w:r>
              <w:t>本地整理</w:t>
            </w:r>
          </w:p>
        </w:tc>
        <w:tc>
          <w:tcPr>
            <w:tcW w:type="dxa" w:w="7360"/>
          </w:tcPr>
          <w:p>
            <w:pPr>
              <w:spacing w:after="80"/>
            </w:pPr>
            <w:r>
              <w:t>提供摘要、标签和关联建议；模型不可用时原文与关键词搜索仍可用。</w:t>
            </w:r>
          </w:p>
        </w:tc>
      </w:tr>
      <w:tr>
        <w:trPr>
          <w:cantSplit/>
        </w:trPr>
        <w:tc>
          <w:tcPr>
            <w:tcW w:type="dxa" w:w="2000"/>
          </w:tcPr>
          <w:p>
            <w:pPr>
              <w:spacing w:after="80"/>
            </w:pPr>
            <w:r>
              <w:t>主动 Play</w:t>
            </w:r>
          </w:p>
        </w:tc>
        <w:tc>
          <w:tcPr>
            <w:tcW w:type="dxa" w:w="7360"/>
          </w:tcPr>
          <w:p>
            <w:pPr>
              <w:spacing w:after="80"/>
            </w:pPr>
            <w:r>
              <w:t>至少一种文本视角可完成生成与保存；可选模型有可用状态和能力说明。</w:t>
            </w:r>
          </w:p>
        </w:tc>
      </w:tr>
      <w:tr>
        <w:trPr>
          <w:cantSplit/>
        </w:trPr>
        <w:tc>
          <w:tcPr>
            <w:tcW w:type="dxa" w:w="2000"/>
          </w:tcPr>
          <w:p>
            <w:pPr>
              <w:spacing w:after="80"/>
            </w:pPr>
            <w:r>
              <w:t>隐私边界</w:t>
            </w:r>
          </w:p>
        </w:tc>
        <w:tc>
          <w:tcPr>
            <w:tcW w:type="dxa" w:w="7360"/>
          </w:tcPr>
          <w:p>
            <w:pPr>
              <w:spacing w:after="80"/>
            </w:pPr>
            <w:r>
              <w:t>调用远端前展示实际上传范围；基础整理不发出内容上传请求。</w:t>
            </w:r>
          </w:p>
        </w:tc>
      </w:tr>
      <w:tr>
        <w:trPr>
          <w:cantSplit/>
        </w:trPr>
        <w:tc>
          <w:tcPr>
            <w:tcW w:type="dxa" w:w="2000"/>
          </w:tcPr>
          <w:p>
            <w:pPr>
              <w:spacing w:after="80"/>
            </w:pPr>
            <w:r>
              <w:t>结果沉淀</w:t>
            </w:r>
          </w:p>
        </w:tc>
        <w:tc>
          <w:tcPr>
            <w:tcW w:type="dxa" w:w="7360"/>
          </w:tcPr>
          <w:p>
            <w:r>
              <w:t>保存结果保留源点版本、上下文快照、视角、模型和时间；重新显影创建新结果，丢弃不改变原点。</w:t>
            </w:r>
          </w:p>
        </w:tc>
      </w:tr>
      <w:tr>
        <w:trPr>
          <w:cantSplit/>
        </w:trPr>
        <w:tc>
          <w:tcPr>
            <w:tcW w:type="dxa" w:w="2000"/>
          </w:tcPr>
          <w:p>
            <w:pPr>
              <w:spacing w:after="80"/>
            </w:pPr>
            <w:r>
              <w:t>回看</w:t>
            </w:r>
          </w:p>
        </w:tc>
        <w:tc>
          <w:tcPr>
            <w:tcW w:type="dxa" w:w="7360"/>
          </w:tcPr>
          <w:p>
            <w:pPr>
              <w:spacing w:after="80"/>
            </w:pPr>
            <w:r>
              <w:t>可打开旧点并记录有用/跳过反馈；可从回看进入 Play。</w:t>
            </w:r>
          </w:p>
        </w:tc>
      </w:tr>
      <w:tr>
        <w:trPr>
          <w:cantSplit/>
        </w:trPr>
        <w:tc>
          <w:tcPr>
            <w:tcW w:type="dxa" w:w="2000"/>
          </w:tcPr>
          <w:p>
            <w:pPr>
              <w:spacing w:after="80"/>
            </w:pPr>
            <w:r>
              <w:t>异常与恢复</w:t>
            </w:r>
          </w:p>
        </w:tc>
        <w:tc>
          <w:tcPr>
            <w:tcW w:type="dxa" w:w="7360"/>
          </w:tcPr>
          <w:p>
            <w:pPr>
              <w:spacing w:after="80"/>
            </w:pPr>
            <w:r>
              <w:t>断网保留输入；失败可重试；取消不自动重试；删除可恢复。</w:t>
            </w:r>
          </w:p>
        </w:tc>
      </w:tr>
    </w:tbl>
    <w:p>
      <w:pPr>
        <w:pStyle w:val="Heading2"/>
      </w:pPr>
      <w:r>
        <w:rPr>
          <w:color w:val="000000"/>
        </w:rPr>
        <w:t>性能与可靠性验证</w:t>
      </w:r>
    </w:p>
    <w:p>
      <w:r>
        <w:t>在选定基准设备上以1,000个文本点验证：本地文本保存目标 P95≤300ms，关键词搜索目标 P95≤500ms。画布渲染采用可见区域裁剪并单独测量交互帧率；模型耗时与本地交互耗时分开统计。基准设备在技术原型阶段确定。</w:t>
      </w:r>
    </w:p>
    <w:p>
      <w:pPr>
        <w:pStyle w:val="Heading2"/>
      </w:pPr>
      <w:r>
        <w:rPr>
          <w:color w:val="000000"/>
        </w:rPr>
        <w:t>首版不承诺的能力</w:t>
      </w:r>
    </w:p>
    <w:p>
      <w:r>
        <w:t>全模态生成、实时多人协作、公开内容广场、交易市场、可提现或可转让的币，以及复杂三维物理模拟均留待后续验证。文件附件的输入支持与生成模态分开排期，避免把“能保存视频”误当成“能生成视频”。</w:t>
      </w:r>
    </w:p>
    <w:p>
      <w:pPr>
        <w:pStyle w:val="Heading1"/>
        <w:pageBreakBefore/>
      </w:pPr>
      <w:r>
        <w:rPr>
          <w:color w:val="000000"/>
        </w:rPr>
        <w:t>06  数据、模型与隐私边界</w:t>
      </w:r>
    </w:p>
    <w:p>
      <w:pPr>
        <w:pStyle w:val="Heading2"/>
      </w:pPr>
      <w:r>
        <w:rPr>
          <w:color w:val="000000"/>
        </w:rPr>
        <w:t>数据对象建议</w:t>
      </w:r>
    </w:p>
    <w:p>
      <w:r>
        <w:t>Point：唯一标识、原始内容、附件引用、来源、时间、摘要、标签、向量、状态与版本。Relation：起点、终点、关系类型、来源、置信度与确认状态。PlaySession：输入快照、视角、模态、模型、执行状态和成本记录。Result：产物引用、源会话与是否沉淀。Space：布局、点集合与访问范围。【v0.5 补充】Point允许标题为空；原始模态与显影模态分开记录。ShareSnapshot记录授权内容和呈现设置；共振点沿用Point，保存回应来源及授权可见引用，不复制隐含的私人关系。【v0.6 补充】CaptureSession保存消息、附件和草稿状态，默认关联一个Point；自动摘要及AI回复保留生成来源。Relation补充类型、方向、证据、置信与用户确认状态，详见第14—15节。</w:t>
      </w:r>
    </w:p>
    <w:p>
      <w:commentRangeStart w:id="2"/>
      <w:r>
        <w:t>【v0.9 更新】增加ContextSnapshot，保存时间、来源、可选情境说明及被引用点的版本；位置为可选字段，记录来源与精度，未知可为空。PlaySession引用本次上下文快照，Result保留模型标识、版本（可取得时）、生成时间和用户采纳状态。向量、摘要和关联属于可重建的派生数据；模型更换不修改原文或旧显影。具体语义见第19节。</w:t>
      </w:r>
      <w:commentRangeEnd w:id="2"/>
      <w:r>
        <w:rPr>
          <w:rStyle w:val="CommentReference"/>
        </w:rPr>
        <w:commentReference w:id="2"/>
      </w:r>
    </w:p>
    <w:p>
      <w:pPr>
        <w:pStyle w:val="Heading2"/>
      </w:pPr>
      <w:r>
        <w:rPr>
          <w:color w:val="000000"/>
        </w:rPr>
        <w:t>本地与远端的职责</w:t>
      </w:r>
    </w:p>
    <w:p>
      <w:r>
        <w:t>本地负责记录、加密存储、索引、关键词搜索，以及设备能力允许时的摘要、向量和关联。用户可选择本地模型执行 Play；不支持的模态明确标记不可用，不能自动改用远端。</w:t>
      </w:r>
    </w:p>
    <w:p>
      <w:r>
        <w:t>远端只在用户主动发起相应生成并确认内容范围后调用。模型入口展示执行位置、支持模态、下载需求和可用状态；成本未知时明确提示，设置可配置的单次或月度预算控制。取消已提交任务不等同于一定免除服务端费用。</w:t>
      </w:r>
    </w:p>
    <w:p>
      <w:pPr>
        <w:pStyle w:val="Heading2"/>
      </w:pPr>
      <w:r>
        <w:rPr>
          <w:color w:val="000000"/>
        </w:rPr>
        <w:t>权限、同步与数据生命周期</w:t>
      </w:r>
    </w:p>
    <w:p>
      <w:r>
        <w:t>首版默认私人且不依赖账号完成基础记录。密钥使用平台安全存储能力管理；日志不记录原文与附件。提供导出、删除及本地恢复机制，明确备份文件的加密方式。跨设备同步作为独立功能，不与远端模型调用授权混合。</w:t>
      </w:r>
    </w:p>
    <w:p>
      <w:pPr>
        <w:pStyle w:val="Heading2"/>
      </w:pPr>
      <w:r>
        <w:rPr>
          <w:color w:val="000000"/>
        </w:rPr>
        <w:t>技术选型边界</w:t>
      </w:r>
    </w:p>
    <w:p>
      <w:r>
        <w:t>RN 与 Compose 已进入讨论，但当前上下文没有最终选型结论。本稿不锁定框架。用同一原型验证画布交互、本地模型接入、加密存储、后台任务及目标平台覆盖，再记录决定。先验证3D点选、导航、遮挡与性能，不要求完整游戏引擎。</w:t>
      </w:r>
    </w:p>
    <w:p>
      <w:pPr>
        <w:pStyle w:val="Heading1"/>
        <w:pageBreakBefore/>
      </w:pPr>
      <w:r>
        <w:rPr>
          <w:color w:val="000000"/>
        </w:rPr>
        <w:t>07  开放协作、能量与价值交换</w:t>
      </w:r>
    </w:p>
    <w:p>
      <w:pPr>
        <w:pStyle w:val="Heading2"/>
      </w:pPr>
      <w:r>
        <w:rPr>
          <w:color w:val="000000"/>
        </w:rPr>
        <w:t>从私人空间到开放空间</w:t>
      </w:r>
    </w:p>
    <w:p>
      <w:r>
        <w:t>点界包含私人、可分享、可协同三个层次：个人拥有自己的点界，再决定哪些点或点簇向外开放。分享建议从选定点或点簇的快照开始，分享前预览内容、附件和来源，不随关系链自动暴露其他私人点。协作阶段再引入查看、评论、编辑权限以及版本历史。</w:t>
      </w:r>
    </w:p>
    <w:p>
      <w:r>
        <w:t>撤销分享可终止后续访问，但不能承诺收回对方已下载的副本。多人编辑需要明确冲突处理：保留不同版本、展示修改者，再合并；不能静默覆盖。</w:t>
      </w:r>
    </w:p>
    <w:p>
      <w:pPr>
        <w:pStyle w:val="Heading2"/>
      </w:pPr>
      <w:r>
        <w:rPr>
          <w:color w:val="000000"/>
        </w:rPr>
        <w:t>“化学反应”的产品解释</w:t>
      </w:r>
    </w:p>
    <w:p>
      <w:r>
        <w:t>点是可组合的材料，Play 的视角与模型是反应条件，注意力、时间和算力是投入，产生的新理解或作品是结果。这是一套帮助用户操作和理解的隐喻，不预设每次组合都一定创造价值。</w:t>
      </w:r>
    </w:p>
    <w:p>
      <w:pPr>
        <w:pStyle w:val="Heading2"/>
      </w:pPr>
      <w:r>
        <w:rPr>
          <w:color w:val="000000"/>
        </w:rPr>
        <w:t>能量机制分三层验证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800"/>
        <w:gridCol w:w="3600"/>
        <w:gridCol w:w="3960"/>
      </w:tblGrid>
      <w:tr>
        <w:trPr>
          <w:cantSplit/>
        </w:trPr>
        <w:tc>
          <w:tcPr>
            <w:tcW w:type="dxa" w:w="1800"/>
            <w:shd w:fill="F2F4F7"/>
          </w:tcPr>
          <w:p>
            <w:pPr>
              <w:spacing w:after="80"/>
            </w:pPr>
            <w:r>
              <w:rPr>
                <w:b/>
              </w:rPr>
              <w:t>层次</w:t>
            </w:r>
          </w:p>
        </w:tc>
        <w:tc>
          <w:tcPr>
            <w:tcW w:type="dxa" w:w="3600"/>
            <w:shd w:fill="F2F4F7"/>
          </w:tcPr>
          <w:p>
            <w:pPr>
              <w:spacing w:after="80"/>
            </w:pPr>
            <w:r>
              <w:rPr>
                <w:b/>
              </w:rPr>
              <w:t>含义</w:t>
            </w:r>
          </w:p>
        </w:tc>
        <w:tc>
          <w:tcPr>
            <w:tcW w:type="dxa" w:w="3960"/>
            <w:shd w:fill="F2F4F7"/>
          </w:tcPr>
          <w:p>
            <w:pPr>
              <w:spacing w:after="80"/>
            </w:pPr>
            <w:r>
              <w:rPr>
                <w:b/>
              </w:rPr>
              <w:t>产品边界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after="80"/>
            </w:pPr>
            <w:r>
              <w:t>探索反馈</w:t>
            </w:r>
          </w:p>
        </w:tc>
        <w:tc>
          <w:tcPr>
            <w:tcW w:type="dxa" w:w="3600"/>
          </w:tcPr>
          <w:p>
            <w:pPr>
              <w:spacing w:after="80"/>
            </w:pPr>
            <w:r>
              <w:t>记录回看、关联与有效发现</w:t>
            </w:r>
          </w:p>
        </w:tc>
        <w:tc>
          <w:tcPr>
            <w:tcW w:type="dxa" w:w="3960"/>
          </w:tcPr>
          <w:p>
            <w:pPr>
              <w:spacing w:after="80"/>
            </w:pPr>
            <w:r>
              <w:t>可用非货币反馈验证，不等同财产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after="80"/>
            </w:pPr>
            <w:r>
              <w:t>资源额度</w:t>
            </w:r>
          </w:p>
        </w:tc>
        <w:tc>
          <w:tcPr>
            <w:tcW w:type="dxa" w:w="3600"/>
          </w:tcPr>
          <w:p>
            <w:pPr>
              <w:spacing w:after="80"/>
            </w:pPr>
            <w:r>
              <w:t>呈现生成消耗的算力或服务额度</w:t>
            </w:r>
          </w:p>
        </w:tc>
        <w:tc>
          <w:tcPr>
            <w:tcW w:type="dxa" w:w="3960"/>
          </w:tcPr>
          <w:p>
            <w:pPr>
              <w:spacing w:after="80"/>
            </w:pPr>
            <w:r>
              <w:t>费用透明，与探索反馈分开记账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after="80"/>
            </w:pPr>
            <w:r>
              <w:t>价值交换</w:t>
            </w:r>
          </w:p>
        </w:tc>
        <w:tc>
          <w:tcPr>
            <w:tcW w:type="dxa" w:w="3600"/>
          </w:tcPr>
          <w:p>
            <w:pPr>
              <w:spacing w:after="80"/>
            </w:pPr>
            <w:r>
              <w:t>作品、模板或服务的标价与交换</w:t>
            </w:r>
          </w:p>
        </w:tc>
        <w:tc>
          <w:tcPr>
            <w:tcW w:type="dxa" w:w="3960"/>
          </w:tcPr>
          <w:p>
            <w:pPr>
              <w:spacing w:after="80"/>
            </w:pPr>
            <w:r>
              <w:t>商业探索；规则确认后独立设计</w:t>
            </w:r>
          </w:p>
        </w:tc>
      </w:tr>
    </w:tbl>
    <w:p>
      <w:r>
        <w:t>最新聊天提出能量可以有“币”、对应现实世界的标价与交换。本稿保留这一方向，但尚未确定发行、转让、提现、定价或结算机制；不把注意力积分直接兑换为现实货币，也不把高生成次数作为价值证明。</w:t>
      </w:r>
    </w:p>
    <w:p>
      <w:pPr>
        <w:pStyle w:val="Heading2"/>
      </w:pPr>
      <w:r>
        <w:rPr>
          <w:color w:val="000000"/>
        </w:rPr>
        <w:t>商业验证建议</w:t>
      </w:r>
    </w:p>
    <w:p>
      <w:r>
        <w:t>先验证用户是否愿意为可靠的整理、回看与高质量 Play 付费，再选择订阅或按量额度。若后续引入交易，需先定义可交易对象、来源授权、归属、退款与争议流程。商业模式不能以默认上传私人内容为前提。</w:t>
      </w:r>
    </w:p>
    <w:p>
      <w:pPr>
        <w:pStyle w:val="Heading1"/>
        <w:pageBreakBefore/>
      </w:pPr>
      <w:r>
        <w:rPr>
          <w:color w:val="000000"/>
        </w:rPr>
        <w:t>08  迭代路线与成功判断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600"/>
        <w:gridCol w:w="3760"/>
        <w:gridCol w:w="4000"/>
      </w:tblGrid>
      <w:tr>
        <w:trPr>
          <w:cantSplit/>
        </w:trPr>
        <w:tc>
          <w:tcPr>
            <w:tcW w:type="dxa" w:w="1600"/>
            <w:shd w:fill="F2F4F7"/>
          </w:tcPr>
          <w:p>
            <w:pPr>
              <w:spacing w:after="80"/>
            </w:pPr>
            <w:r>
              <w:rPr>
                <w:b/>
              </w:rPr>
              <w:t>阶段</w:t>
            </w:r>
          </w:p>
        </w:tc>
        <w:tc>
          <w:tcPr>
            <w:tcW w:type="dxa" w:w="3760"/>
            <w:shd w:fill="F2F4F7"/>
          </w:tcPr>
          <w:p>
            <w:pPr>
              <w:spacing w:after="80"/>
            </w:pPr>
            <w:r>
              <w:rPr>
                <w:b/>
              </w:rPr>
              <w:t>要回答的问题</w:t>
            </w:r>
          </w:p>
        </w:tc>
        <w:tc>
          <w:tcPr>
            <w:tcW w:type="dxa" w:w="4000"/>
            <w:shd w:fill="F2F4F7"/>
          </w:tcPr>
          <w:p>
            <w:pPr>
              <w:spacing w:after="80"/>
            </w:pPr>
            <w:r>
              <w:rPr>
                <w:b/>
              </w:rPr>
              <w:t>退出条件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spacing w:after="80"/>
            </w:pPr>
            <w:r>
              <w:t>概念原型</w:t>
            </w:r>
          </w:p>
        </w:tc>
        <w:tc>
          <w:tcPr>
            <w:tcW w:type="dxa" w:w="3760"/>
          </w:tcPr>
          <w:p>
            <w:pPr>
              <w:spacing w:after="80"/>
            </w:pPr>
            <w:r>
              <w:t>点图与 Play 是否容易理解？</w:t>
            </w:r>
          </w:p>
        </w:tc>
        <w:tc>
          <w:tcPr>
            <w:tcW w:type="dxa" w:w="4000"/>
          </w:tcPr>
          <w:p>
            <w:pPr>
              <w:spacing w:after="80"/>
            </w:pPr>
            <w:r>
              <w:t>用户独立完成选点、生成、保存和找回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spacing w:after="80"/>
            </w:pPr>
            <w:r>
              <w:t>私人首版</w:t>
            </w:r>
          </w:p>
        </w:tc>
        <w:tc>
          <w:tcPr>
            <w:tcW w:type="dxa" w:w="3760"/>
          </w:tcPr>
          <w:p>
            <w:pPr>
              <w:spacing w:after="80"/>
            </w:pPr>
            <w:r>
              <w:t>旧点能否形成持续复用？</w:t>
            </w:r>
          </w:p>
        </w:tc>
        <w:tc>
          <w:tcPr>
            <w:tcW w:type="dxa" w:w="4000"/>
          </w:tcPr>
          <w:p>
            <w:pPr>
              <w:spacing w:after="80"/>
            </w:pPr>
            <w:r>
              <w:t>核心闭环、离线能力与隐私验收通过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spacing w:after="80"/>
            </w:pPr>
            <w:r>
              <w:t>玩法扩展</w:t>
            </w:r>
          </w:p>
        </w:tc>
        <w:tc>
          <w:tcPr>
            <w:tcW w:type="dxa" w:w="3760"/>
          </w:tcPr>
          <w:p>
            <w:pPr>
              <w:spacing w:after="80"/>
            </w:pPr>
            <w:r>
              <w:t>变换与多模态是否增加有效发现？</w:t>
            </w:r>
          </w:p>
        </w:tc>
        <w:tc>
          <w:tcPr>
            <w:tcW w:type="dxa" w:w="4000"/>
          </w:tcPr>
          <w:p>
            <w:pPr>
              <w:spacing w:after="80"/>
            </w:pPr>
            <w:r>
              <w:t>相较文本基线有更多被保留和再使用的成果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spacing w:after="80"/>
            </w:pPr>
            <w:r>
              <w:t>分享协作</w:t>
            </w:r>
          </w:p>
        </w:tc>
        <w:tc>
          <w:tcPr>
            <w:tcW w:type="dxa" w:w="3760"/>
          </w:tcPr>
          <w:p>
            <w:pPr>
              <w:spacing w:after="80"/>
            </w:pPr>
            <w:r>
              <w:t>开放连接是否带来协作价值？</w:t>
            </w:r>
          </w:p>
        </w:tc>
        <w:tc>
          <w:tcPr>
            <w:tcW w:type="dxa" w:w="4000"/>
          </w:tcPr>
          <w:p>
            <w:pPr>
              <w:spacing w:after="80"/>
            </w:pPr>
            <w:r>
              <w:t>权限与版本可理解，出现持续共同使用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spacing w:after="80"/>
            </w:pPr>
            <w:r>
              <w:t>价值交换</w:t>
            </w:r>
          </w:p>
        </w:tc>
        <w:tc>
          <w:tcPr>
            <w:tcW w:type="dxa" w:w="3760"/>
          </w:tcPr>
          <w:p>
            <w:pPr>
              <w:spacing w:after="80"/>
            </w:pPr>
            <w:r>
              <w:t>哪些产物值得付费？</w:t>
            </w:r>
          </w:p>
        </w:tc>
        <w:tc>
          <w:tcPr>
            <w:tcW w:type="dxa" w:w="4000"/>
          </w:tcPr>
          <w:p>
            <w:pPr>
              <w:spacing w:after="80"/>
            </w:pPr>
            <w:r>
              <w:t>需求与交易对象明确，成本及规则成立</w:t>
            </w:r>
          </w:p>
        </w:tc>
      </w:tr>
    </w:tbl>
    <w:p>
      <w:pPr>
        <w:pStyle w:val="Heading2"/>
      </w:pPr>
      <w:r>
        <w:rPr>
          <w:color w:val="000000"/>
        </w:rPr>
        <w:t>核心指标</w:t>
      </w:r>
    </w:p>
    <w:p>
      <w:r>
        <w:t>建议北极星指标为“每周有效再发现次数”：用户重新打开至少7天前的点，并产生保存的新点、明确关系或导出使用行为；同一用户同一源点每日去重。7天阈值是初始口径，需结合实际使用节奏调整。</w:t>
      </w:r>
    </w:p>
    <w:p>
      <w:r>
        <w:t>辅助指标：首次捕获完成率、捕获耗时与中途放弃率、上下文辅助找回成功率、首个闭环完成率、回看有用反馈比例、生成结果保留与再次使用率，以及单次有效结果成本。护栏指标：重复内容增长、误关联反馈、生成等待时间、崩溃率和非预期上传事件。</w:t>
      </w:r>
    </w:p>
    <w:p>
      <w:r>
        <w:t>仅打开旧点不计为有效再发现；生成总量不作为核心成功指标。分析事件优先记录动作、耗时及匿名标识，不采集点的原文；外发分析需要单独说明并提供控制。</w:t>
      </w:r>
    </w:p>
    <w:p>
      <w:pPr>
        <w:pStyle w:val="Heading2"/>
      </w:pPr>
      <w:r>
        <w:rPr>
          <w:color w:val="000000"/>
        </w:rPr>
        <w:t>下一步建议</w:t>
      </w:r>
    </w:p>
    <w:p>
      <w:r>
        <w:t>先邀请个人思考者带入真实的工作、学习、研究或创作片段，验证快速捕获、带上下文找回和继续思考。记录用户为何中断或放弃，不把已有记录习惯作为必要条件。完成手机闭环与基准设备验证后，再比较可穿戴入口是否实质降低捕获负担。</w:t>
      </w:r>
    </w:p>
    <w:p>
      <w:pPr>
        <w:pStyle w:val="Heading2"/>
      </w:pPr>
      <w:r>
        <w:rPr>
          <w:color w:val="000000"/>
        </w:rPr>
        <w:t>待定事项与依据</w:t>
      </w:r>
    </w:p>
    <w:p>
      <w:r>
        <w:t>待定：首发平台及框架、本地模型与最低设备、首个远端服务、非文本输入交付范围、同步方式及定价；新增可穿戴目标设备、开放能力、上下文粒度与触发方式。本文新增验收建议见第18—20节，待纳入配套backlog。尚无团队产能与开发进度证据，阶段为建议。</w:t>
      </w:r>
    </w:p>
    <w:p>
      <w:r>
        <w:t>依据：9月8日既有讨论及9月9日“产品目标用户分析”中的个人思考者优先、思考障碍提问、AI眼镜入口与Apple Watch时间地点上下文讨论。对话自动成点、3D主空间为既定偏好；新增字段、验收和设备分期为实现建议。量子、多宇宙、水流及点与上下文的类比均为设计隐喻。</w:t>
      </w:r>
    </w:p>
    <w:p>
      <w:r>
        <w:br w:type="page"/>
      </w:r>
    </w:p>
    <w:p>
      <w:pPr>
        <w:pStyle w:val="Heading1"/>
      </w:pPr>
      <w:r>
        <w:rPr>
          <w:color w:val="000000"/>
        </w:rPr>
        <w:t>09  新增：未言明体验与共鸣</w:t>
      </w:r>
    </w:p>
    <w:p>
      <w:pPr>
        <w:pStyle w:val="Heading2"/>
      </w:pPr>
      <w:r>
        <w:rPr>
          <w:color w:val="000000"/>
        </w:rPr>
        <w:t>保留，不强迫解释</w:t>
      </w:r>
    </w:p>
    <w:p>
      <w:r>
        <w:t>【讨论方向】用户希望留下稍纵即逝的想法和不可言传的共鸣。Point 可以是半句话、一张照片、一段声音或一个暂未命名的线索。模型可以提出解释，但不能把解释当作用户本意，更不能因内容不完整而拒绝保存。</w:t>
      </w:r>
    </w:p>
    <w:p>
      <w:pPr>
        <w:pStyle w:val="Heading2"/>
      </w:pPr>
      <w:r>
        <w:rPr>
          <w:color w:val="000000"/>
        </w:rPr>
        <w:t>通感与共情如何成为体验</w:t>
      </w:r>
    </w:p>
    <w:p>
      <w:r>
        <w:t>【实现建议】通感体现为在文字、图像、声音等表达间试探同一体验；共情体现为他人理解后的回应。它们是体验目标，不能承诺机器准确读取内心。首版用文本视角验证“这是否贴近我的感受”，图片和声音的生成在后续独立验证。</w:t>
      </w:r>
    </w:p>
    <w:p>
      <w:pPr>
        <w:pStyle w:val="Heading2"/>
      </w:pPr>
      <w:r>
        <w:rPr>
          <w:color w:val="000000"/>
        </w:rPr>
        <w:t>一个具体场景</w:t>
      </w:r>
    </w:p>
    <w:p>
      <w:r>
        <w:t>用户拍下雨后的窗户，留下一句“有点像小时候放学”。当时无需补齐故事。数日后回看，用户主动选择“换一种表达”，判断候选文字是否贴近，再决定保留。后续分享只带出选中的照片与表达，对方可以回应自己的记忆，形成新的点。</w:t>
      </w:r>
    </w:p>
    <w:p>
      <w:pPr>
        <w:pStyle w:val="Heading2"/>
      </w:pPr>
      <w:r>
        <w:rPr>
          <w:color w:val="000000"/>
        </w:rPr>
        <w:t>分享的最小对象</w:t>
      </w:r>
    </w:p>
    <w:p>
      <w:r>
        <w:t>【v0.5 更新】分享对象仍是选定快照，可不展示标题和内容预告。接收者主动点开后，在授权范围内选择原始载体或可用显影方式。回应可沉淀为独立的共振点，并关联有权引用的源点；他人的共鸣不由系统自动认定，完整流程见第12节。</w:t>
      </w:r>
    </w:p>
    <w:p>
      <w:pPr>
        <w:pStyle w:val="Heading2"/>
      </w:pPr>
      <w:r>
        <w:rPr>
          <w:color w:val="000000"/>
        </w:rPr>
        <w:t>保留人的判断与行动</w:t>
      </w:r>
    </w:p>
    <w:p>
      <w:r>
        <w:t>【长期方向】人与 AI 协作的价值在于人仍参与观察、解释、选择和行动。建议提供可跳过的“先写自己的理解”与事后反馈入口，不强制打卡；把想法用于作品、实验或行动后，可将反馈链接回源点。防止认知退化是愿景，不能当作未经验证的功效。</w:t>
      </w:r>
    </w:p>
    <w:p>
      <w:r>
        <w:br w:type="page"/>
      </w:r>
    </w:p>
    <w:p>
      <w:pPr>
        <w:pStyle w:val="Heading1"/>
      </w:pPr>
      <w:r>
        <w:rPr>
          <w:color w:val="000000"/>
        </w:rPr>
        <w:t>10  新增：原子能力与开放形态</w:t>
      </w:r>
    </w:p>
    <w:p>
      <w:pPr>
        <w:pStyle w:val="Heading2"/>
      </w:pPr>
      <w:r>
        <w:rPr>
          <w:color w:val="000000"/>
        </w:rPr>
        <w:t>先固定能力边界，再选择算法</w:t>
      </w:r>
    </w:p>
    <w:p>
      <w:r>
        <w:t>【实现建议】将捕获、索引、检索、关联建议、组合／分解、显影、沉淀、反馈做成可独立评估的能力。关键词与规则提供离线基线；向量检索提供候选关联；生成模型处理解释与表达。先测质量、延迟和成本，再决定是否替换算法。</w:t>
      </w:r>
    </w:p>
    <w:p>
      <w:pPr>
        <w:pStyle w:val="Heading2"/>
      </w:pPr>
      <w:r>
        <w:rPr>
          <w:color w:val="000000"/>
        </w:rPr>
        <w:t>图结构与神经网络分别承担什么</w:t>
      </w:r>
    </w:p>
    <w:p>
      <w:r>
        <w:t>Point 与 Relation 保存可追溯的内容和连接；模型负责推断或排序。把点连成图并不等于已经训练了神经网络。专用训练只在任务定义清晰、获授权样本充分、基线不足且离线评估有稳定收益后进入研究；不默认收集私人内容作为训练数据。</w:t>
      </w:r>
    </w:p>
    <w:p>
      <w:pPr>
        <w:pStyle w:val="Heading2"/>
      </w:pPr>
      <w:r>
        <w:rPr>
          <w:color w:val="000000"/>
        </w:rPr>
        <w:t>App、MCP、Skill、Agent 的关系</w:t>
      </w:r>
    </w:p>
    <w:p>
      <w:r>
        <w:t>App 承载记录和私人空间；MCP 是未来向外部 AI 暴露授权能力的接口；Skill 描述如何组合能力完成任务；Agent 在权限和预算内执行多步任务。它们可以复用 Point Runtime，不必先把产品转换为某一种形态。首版只约定内部边界，不交付完整外部生态。</w:t>
      </w:r>
    </w:p>
    <w:p>
      <w:pPr>
        <w:pStyle w:val="Heading2"/>
      </w:pPr>
      <w:r>
        <w:rPr>
          <w:color w:val="000000"/>
        </w:rPr>
        <w:t>开放前必须具备的约束</w:t>
      </w:r>
    </w:p>
    <w:p>
      <w:r>
        <w:t>后续接口按空间、点和操作授权，读写分离，记录访问与变更并可撤销权限。导入和生成结果必须标明来源；写入先作为候选，用户决定沉淀。Agent 不因获得检索权而自动取得分享、删除、调用远端或交易权。</w:t>
      </w:r>
    </w:p>
    <w:p>
      <w:pPr>
        <w:pStyle w:val="Heading2"/>
      </w:pPr>
      <w:r>
        <w:rPr>
          <w:color w:val="000000"/>
        </w:rPr>
        <w:t>可积累的竞争力与验证</w:t>
      </w:r>
    </w:p>
    <w:p>
      <w:r>
        <w:t>【战略假设】长期价值可能来自低负担捕获、连续的个人来源与关系、有效再发现、用户信任和逐步形成的共鸣网络。通用模型和漂亮点图本身不足以证明壁垒。以持续使用、用户认可的连接、跨时间复用和付费验证；数据可导出，竞争力不依赖锁住用户。</w:t>
      </w:r>
    </w:p>
    <w:p>
      <w:r>
        <w:br w:type="page"/>
      </w:r>
    </w:p>
    <w:p>
      <w:pPr>
        <w:pStyle w:val="Heading1"/>
      </w:pPr>
      <w:r>
        <w:rPr>
          <w:color w:val="000000"/>
        </w:rPr>
        <w:t>11  新增：执行顺序与商业化阶段门</w:t>
      </w:r>
    </w:p>
    <w:p>
      <w:pPr>
        <w:pStyle w:val="Heading2"/>
      </w:pPr>
      <w:r>
        <w:rPr>
          <w:color w:val="000000"/>
        </w:rPr>
        <w:t>近期：先验证私人闭环</w:t>
      </w:r>
    </w:p>
    <w:p>
      <w:r>
        <w:t>建议按 G0 定义与原型、G1 私人内测、G2 留存与付费验证推进。P0 是进入私人内测前必须解决的事项；P1 为下一轮增强；P2 需前置证据；P3 为远期探索。重要度5分表示决定核心价值或信任，并不代表必须马上开发。逐项说明见配套 backlog。</w:t>
      </w:r>
    </w:p>
    <w:p>
      <w:pPr>
        <w:pStyle w:val="Heading2"/>
      </w:pPr>
      <w:r>
        <w:rPr>
          <w:color w:val="000000"/>
        </w:rPr>
        <w:t>第1年：形成可反复使用的个人工具</w:t>
      </w:r>
    </w:p>
    <w:p>
      <w:r>
        <w:t>以小规模目标用户验证记录—找回—Play—沉淀，先看真实复用再扩张。建议商业路径为基础本地能力加可选付费增强／生成额度；具体定价需试验。放量前核算推理、同步、存储和支持成本；未观察到复用时优先修正体验。</w:t>
      </w:r>
    </w:p>
    <w:p>
      <w:pPr>
        <w:pStyle w:val="Heading2"/>
      </w:pPr>
      <w:r>
        <w:rPr>
          <w:color w:val="000000"/>
        </w:rPr>
        <w:t>第2—3年：有证据地扩展连接</w:t>
      </w:r>
    </w:p>
    <w:p>
      <w:r>
        <w:t>在个人留存成立后试点分享快照、共鸣回应和小组协作；有明确外部调用需求时试点 MCP，再形成 Skill 和受控 Agent。商业验证对象可扩展至创作小组或团队。不能仅以注册增长替代协作复用和续费证据。</w:t>
      </w:r>
    </w:p>
    <w:p>
      <w:pPr>
        <w:pStyle w:val="Heading2"/>
      </w:pPr>
      <w:r>
        <w:rPr>
          <w:color w:val="000000"/>
        </w:rPr>
        <w:t>第3—5年：验证可交易的成果</w:t>
      </w:r>
    </w:p>
    <w:p>
      <w:r>
        <w:t>先验证具体作品、模板、授权包或服务是否有人购买，再决定是否建设交易设施。抽象点子价值、独占性和可交付性尚不清晰；需先完成对象定义、授权与来源、交付和争议规则的专业评估。交易和币的发行不进入首版。时间窗口是规划假设，不是交付承诺。</w:t>
      </w:r>
    </w:p>
    <w:p>
      <w:pPr>
        <w:pStyle w:val="Heading2"/>
      </w:pPr>
      <w:r>
        <w:rPr>
          <w:color w:val="000000"/>
        </w:rPr>
        <w:t>建议的首轮验收门</w:t>
      </w:r>
    </w:p>
    <w:p>
      <w:r>
        <w:t>G0：5位目标用户中至少4位无指导完成原型闭环；G1：核心功能与隐私／恢复验收全部通过；G2：招募约15位内测用户观察4周，至少8位在两个不同周产生有效再发现，再讨论扩量。上述人数与阈值为启动实验的建议，不是市场结论；记录失败原因并调整。</w:t>
      </w:r>
    </w:p>
    <w:p>
      <w:pPr>
        <w:pStyle w:val="Heading2"/>
      </w:pPr>
      <w:r>
        <w:rPr>
          <w:color w:val="000000"/>
        </w:rPr>
        <w:t>Backlog 使用方式</w:t>
      </w:r>
    </w:p>
    <w:p>
      <w:r>
        <w:t>所有条目默认“待开始／待验证”，负责人以角色表示，尚未分配到个人。每周复审优先级与依赖；里程碑以验收证据推进。高重要度的同步、协作和训练可以后置，P0数据保护与恢复不能因功能排期被跳过。</w:t>
      </w:r>
    </w:p>
    <w:p>
      <w:r>
        <w:br w:type="page"/>
      </w:r>
    </w:p>
    <w:p>
      <w:pPr>
        <w:pStyle w:val="Heading1"/>
      </w:pPr>
      <w:r>
        <w:rPr>
          <w:color w:val="000000"/>
        </w:rPr>
        <w:t>12  新增：从思考流到盲盒共振</w:t>
      </w:r>
    </w:p>
    <w:p>
      <w:pPr>
        <w:pStyle w:val="Heading2"/>
      </w:pPr>
      <w:r>
        <w:rPr>
          <w:color w:val="000000"/>
        </w:rPr>
        <w:t>快速捕获：先留下一瞬，再整理</w:t>
      </w:r>
    </w:p>
    <w:p>
      <w:r>
        <w:t>【用户方向】工作、学习、研究与灵感可以同时涌现。【实现建议】共用一个快速入口，先保存再分类；标题、标签和所属领域均非必填。按时间形成私人思考流，可回看一天的片段而无需写成完整日记。短语音做优先原型，录音不依赖转写成功。</w:t>
      </w:r>
    </w:p>
    <w:p>
      <w:pPr>
        <w:pStyle w:val="Heading2"/>
      </w:pPr>
      <w:r>
        <w:rPr>
          <w:color w:val="000000"/>
        </w:rPr>
        <w:t>盲盒分享：点开后才揭示</w:t>
      </w:r>
    </w:p>
    <w:p>
      <w:r>
        <w:t>【用户方向】分享可以没有标题，点开才知道内容。【实现建议】发送者选择点和受众，预览实际分享范围，生成不含正文预告的外观；接收者主动打开。盲盒只是一种呈现方式，不表示付费抽取或随机奖励；链接预览、通知与缩略图也不能提前泄露正文。</w:t>
      </w:r>
    </w:p>
    <w:p>
      <w:pPr>
        <w:pStyle w:val="Heading2"/>
      </w:pPr>
      <w:r>
        <w:rPr>
          <w:color w:val="000000"/>
        </w:rPr>
        <w:t>显影方式由接收者选择</w:t>
      </w:r>
    </w:p>
    <w:p>
      <w:r>
        <w:t>【用户例子】收到语音，可以选择看转文本，而不必先听。原始内容、忠实转换、创造性显影必须区分：转写标示可能的识别错误并保留原音入口；诗化、类比等标明为生成解释。只展示已授权且可用的方式；云端处理前说明实际发送范围，生成失败仍可查看原始内容。</w:t>
      </w:r>
    </w:p>
    <w:p>
      <w:pPr>
        <w:pStyle w:val="Heading2"/>
      </w:pPr>
      <w:r>
        <w:rPr>
          <w:color w:val="000000"/>
        </w:rPr>
        <w:t>共振点：一次回应形成新的创作</w:t>
      </w:r>
    </w:p>
    <w:p>
      <w:r>
        <w:t>【用户方向】共鸣产生一个共振的Point。【实现建议】接收者添加自己的感受或表达，预览并主动保存为新点，记录来源；新点默认进入自己的私人空间，是否回传或继续分享另行选择。共同署名或“双方共振”需双方确认，单方回应不能替对方表达同意。</w:t>
      </w:r>
    </w:p>
    <w:p>
      <w:pPr>
        <w:pStyle w:val="Heading2"/>
      </w:pPr>
      <w:r>
        <w:rPr>
          <w:color w:val="000000"/>
        </w:rPr>
        <w:t>权限与可追溯边界</w:t>
      </w:r>
    </w:p>
    <w:p>
      <w:r>
        <w:t>分享内容的查看权不自动包含云端处理、改编、再次分享或训练权。以简单可理解的选项先验证授权；外发前检查发送者允许范围与接收者本次选择。源内容撤回后停止后续读取，已授权生成的副本如何处理需预先说明；不能承诺追回下载副本。</w:t>
      </w:r>
    </w:p>
    <w:p>
      <w:r>
        <w:br w:type="page"/>
      </w:r>
    </w:p>
    <w:p>
      <w:pPr>
        <w:pStyle w:val="Heading1"/>
      </w:pPr>
      <w:r>
        <w:rPr>
          <w:color w:val="000000"/>
        </w:rPr>
        <w:t>13  新增：多元美学与跨领域边界</w:t>
      </w:r>
    </w:p>
    <w:p>
      <w:pPr>
        <w:pStyle w:val="Heading2"/>
      </w:pPr>
      <w:r>
        <w:rPr>
          <w:color w:val="000000"/>
        </w:rPr>
        <w:t>产品追求的具体落点</w:t>
      </w:r>
    </w:p>
    <w:p>
      <w:r>
        <w:t>【本稿归纳】点界帮助人保留观察、表达感受、发现联系并产生自己的新理解。科学、艺术与人文可以有不同目标：检验解释、创造表达、理解经验。无需先替所有用户决定“改造自然还是顺应自然”，再设计记录功能。</w:t>
      </w:r>
    </w:p>
    <w:p>
      <w:pPr>
        <w:pStyle w:val="Heading2"/>
      </w:pPr>
      <w:r>
        <w:rPr>
          <w:color w:val="000000"/>
        </w:rPr>
        <w:t>美可以有多个终态</w:t>
      </w:r>
    </w:p>
    <w:p>
      <w:r>
        <w:t>【用户比喻】魔方不同颜色排布都可能成为美的终态。【设计建议】支持不同整理方式与表达结果并存，允许用户固定自己的结构，不强迫收敛到模型给出的唯一答案。“美是创造、反熵增”作为哲学探索保留，不作为已证实规律或统一美感分数。科学用途仍需检验证据，审美认可不能替代事实判断。</w:t>
      </w:r>
    </w:p>
    <w:p>
      <w:pPr>
        <w:pStyle w:val="Heading2"/>
      </w:pPr>
      <w:r>
        <w:rPr>
          <w:color w:val="000000"/>
        </w:rPr>
        <w:t>私域起步，跨领域可选择</w:t>
      </w:r>
    </w:p>
    <w:p>
      <w:r>
        <w:t>【待验证问题】跨阶层、跨领域连接还是固定圈层，尚无最终决定。【建议】默认私人，用户可逐步选择定向分享、小组或跨领域探索；不根据用户身份推断“阶层”，不静默把私人点投入公共匹配。跨领域先邀请不同背景的自愿参与者做受控试验。</w:t>
      </w:r>
    </w:p>
    <w:p>
      <w:pPr>
        <w:pStyle w:val="Heading2"/>
      </w:pPr>
      <w:r>
        <w:rPr>
          <w:color w:val="000000"/>
        </w:rPr>
        <w:t>怎样判断跨领域连接有价值</w:t>
      </w:r>
    </w:p>
    <w:p>
      <w:r>
        <w:t>让参与者带入一个自愿分享的点，比较同领域与跨领域回应是否带来新的问题、解释、作品或行动。记录“有启发／不贴切”、回应保留与二次使用，不用语义相似度或点击率直接宣称共鸣。未出现价值时保留定向分享，无需扩建公开广场。</w:t>
      </w:r>
    </w:p>
    <w:p>
      <w:pPr>
        <w:pStyle w:val="Heading2"/>
      </w:pPr>
      <w:r>
        <w:rPr>
          <w:color w:val="000000"/>
        </w:rPr>
        <w:t>本轮范围与实验调整</w:t>
      </w:r>
    </w:p>
    <w:p>
      <w:r>
        <w:t>B34快速捕获与B35私人思考流纳入P0；B16语音原型前置，但正式非文本交付仍为P1。新增B36盲盒原型为P1；B37显影选择、B38共振点、B39跨领域试验为P2；B40多元布局控制为P1。B23实际分享服务仍为P2；新增机制不能绕过隐私与恢复验收。</w:t>
      </w:r>
    </w:p>
    <w:p>
      <w:pPr>
        <w:pStyle w:val="Heading2"/>
      </w:pPr>
      <w:r>
        <w:rPr>
          <w:color w:val="000000"/>
        </w:rPr>
        <w:t>实现建议与未知项</w:t>
      </w:r>
    </w:p>
    <w:p>
      <w:r>
        <w:t>未定项包括盲盒打开前展示哪些元信息、允许的显影方式、共振点是否需要共同确认、分享授权文案，以及是否优先跨领域试点。先以原型和小样试验回答，阶段门、样本与阈值均可按结果调整。</w:t>
      </w:r>
    </w:p>
    <w:p>
      <w:r>
        <w:br w:type="page"/>
      </w:r>
    </w:p>
    <w:p>
      <w:pPr>
        <w:pStyle w:val="Heading1"/>
      </w:pPr>
      <w:r>
        <w:rPr>
          <w:color w:val="000000"/>
        </w:rPr>
        <w:t>14  新增：一段对话形成一个点子</w:t>
      </w:r>
    </w:p>
    <w:p>
      <w:pPr>
        <w:pStyle w:val="Heading2"/>
      </w:pPr>
      <w:r>
        <w:rPr>
          <w:color w:val="000000"/>
        </w:rPr>
        <w:t>入口：让人知道可以从哪里开始</w:t>
      </w:r>
    </w:p>
    <w:p>
      <w:r>
        <w:t>【用户方向】输入界面类似ChatGPT，支持多模态，一个对话产生一个点子。针对“界面简洁但录入生硬、不知道能干嘛”的体验反馈，空白页给出可忽略的提示：“记下一闪念”“说说刚看到的”“拍下一个线索”。标题、分类、完整问题均非必填；一条消息也可以直接成点。</w:t>
      </w:r>
    </w:p>
    <w:p>
      <w:pPr>
        <w:pStyle w:val="Heading2"/>
      </w:pPr>
      <w:r>
        <w:rPr>
          <w:color w:val="000000"/>
        </w:rPr>
        <w:t>主流程与空间入口</w:t>
      </w:r>
    </w:p>
    <w:p>
      <w:r>
        <w:t>【v0.8 更新】打开记录页→连续输入文字或附件→首次发送自动形成一个Point→后续消息持续追加。顶部仅保留返回、会话名和新点子，中间对话流，底部固定输入框；附件收进“＋”，空白轻提示在输入后消失。整理通过对话主动提出，需要云端时在对话中确认范围。</w:t>
      </w:r>
    </w:p>
    <w:p>
      <w:pPr>
        <w:pStyle w:val="Heading2"/>
      </w:pPr>
      <w:r>
        <w:rPr>
          <w:color w:val="000000"/>
        </w:rPr>
        <w:t>会话与Point的边界</w:t>
      </w:r>
    </w:p>
    <w:p>
      <w:r>
        <w:t>【v0.8 更新】首次发送成功落盘后自动创建一个Point；后续消息更新同一Point版本，无独立保存按钮。未发送输入是草稿；“新点子”开启新会话，旧点保留。幂等防重复，失败保留未保存输入并提示。拆点需预览确认，不逐消息自动创建点子。</w:t>
      </w:r>
    </w:p>
    <w:p>
      <w:pPr>
        <w:pStyle w:val="Heading2"/>
      </w:pPr>
      <w:r>
        <w:rPr>
          <w:color w:val="000000"/>
        </w:rPr>
        <w:t>多模态原始内容与恢复</w:t>
      </w:r>
    </w:p>
    <w:p>
      <w:r>
        <w:t>文字、语音、图片在同一会话按顺序保存；原音和原图独立保留，转写、OCR与摘要是可修正的派生内容。附件失败明确显示重试／移除；未完成传输或写入时不提示全部保存成功。断网、切后台或重启后恢复已落盘消息及附件状态；恢复不触发云端请求。</w:t>
      </w:r>
    </w:p>
    <w:p>
      <w:pPr>
        <w:pStyle w:val="Heading2"/>
      </w:pPr>
      <w:r>
        <w:rPr>
          <w:color w:val="000000"/>
        </w:rPr>
        <w:t>对话外观不等于自动云端对话</w:t>
      </w:r>
    </w:p>
    <w:p>
      <w:r>
        <w:t>默认输入与静态提示不依赖云端；本地AI追问可以关闭，不能要求用户先回答才能保存。“帮我梳理／Play”由用户主动触发，执行前展示实际消息、附件和关联点范围；不默认包含其他会话或整个空间。AI回复、用户原话和整理候选分开标示，未经选择不替换原始表达。</w:t>
      </w:r>
    </w:p>
    <w:p>
      <w:pPr>
        <w:pStyle w:val="Heading2"/>
      </w:pPr>
      <w:r>
        <w:rPr>
          <w:color w:val="000000"/>
        </w:rPr>
        <w:t>数据与分期验收</w:t>
      </w:r>
    </w:p>
    <w:p>
      <w:r>
        <w:t>CaptureSession保存消息顺序、附件状态、point_id与修订号；空会话只有草稿，首次成功发送建立Point关联。B41/B42交付大对话流与自动成点；B16/B43接入原音和原图。验收覆盖首次成点、多轮同点、重启恢复、新会话、失败和重复发送。</w:t>
      </w:r>
    </w:p>
    <w:p>
      <w:r>
        <w:br w:type="page"/>
      </w:r>
    </w:p>
    <w:p>
      <w:pPr>
        <w:pStyle w:val="Heading1"/>
      </w:pPr>
      <w:r>
        <w:rPr>
          <w:color w:val="000000"/>
        </w:rPr>
        <w:t>15  新增：关系、极性与可解释推荐</w:t>
      </w:r>
    </w:p>
    <w:p>
      <w:pPr>
        <w:pStyle w:val="Heading2"/>
      </w:pPr>
      <w:r>
        <w:rPr>
          <w:color w:val="000000"/>
        </w:rPr>
        <w:t>把隐喻转成可判断的关系</w:t>
      </w:r>
    </w:p>
    <w:p>
      <w:r>
        <w:t>【用户探索】点有质量与引力，也因极性产生吸引或排斥。【实现建议】质量表示对当前用户的用途，如主动保留、复用或手工重要标记，不代表绝对真理或大众热度。关系区分同主题、支持、反驳、互补、类比与暂不相关；反驳必须针对可指认的命题，不能把措辞不同当成对立。</w:t>
      </w:r>
    </w:p>
    <w:p>
      <w:pPr>
        <w:pStyle w:val="Heading2"/>
      </w:pPr>
      <w:r>
        <w:rPr>
          <w:color w:val="000000"/>
        </w:rPr>
        <w:t>“负相关”需要拆开</w:t>
      </w:r>
    </w:p>
    <w:p>
      <w:r>
        <w:t>观点相反、语义不相似和用户不喜欢是不同信号。相反观点可以因帮助思考而值得推荐；不相关内容通常减少出现；“暂时跳过”不等于永久否定。向量距离或负相似值不能直接证明反驳关系。空间排斥与推荐屏蔽分开设置，点图远近只是布局，不是事实判断。</w:t>
      </w:r>
    </w:p>
    <w:p>
      <w:pPr>
        <w:pStyle w:val="Heading2"/>
      </w:pPr>
      <w:r>
        <w:rPr>
          <w:color w:val="000000"/>
        </w:rPr>
        <w:t>最小推荐流程</w:t>
      </w:r>
    </w:p>
    <w:p>
      <w:r>
        <w:t>先在用户有权访问的私人点中以规则、关键词或本地向量召回候选，再给出关系类型与原文证据，最后按用途、近期重复曝光和用户选择排序。提供“相关线索”“另一种观点”的可选入口；推荐卡写明为何出现，支持有用、不贴切、稍后与关闭。证据不足时显示可能关联，不强制判断对立。</w:t>
      </w:r>
    </w:p>
    <w:p>
      <w:pPr>
        <w:pStyle w:val="Heading2"/>
      </w:pPr>
      <w:r>
        <w:rPr>
          <w:color w:val="000000"/>
        </w:rPr>
        <w:t>关系记录与用户控制</w:t>
      </w:r>
    </w:p>
    <w:p>
      <w:r>
        <w:t>Relation保存两端Point／命题引用、关系类型、方向、证据片段、推断来源与版本、置信及确认状态。原文修改后标记待重评；用户确认与机器推断分开，派生关系可重建。删除点同步清理引用；用户固定关系和布局不被自动排序覆盖。推荐不把私人内容送入公共匹配。</w:t>
      </w:r>
    </w:p>
    <w:p>
      <w:pPr>
        <w:pStyle w:val="Heading2"/>
      </w:pPr>
      <w:r>
        <w:rPr>
          <w:color w:val="000000"/>
        </w:rPr>
        <w:t>是否需要成为大模型</w:t>
      </w:r>
    </w:p>
    <w:p>
      <w:r>
        <w:t>【架构建议】先区分内容存储、关系图、推荐排序与生成能力：可以组合已有本地能力及用户授权的云端Play，不以训练专用大模型作为启动条件。B31继续P3；只有授权数据、明确任务和优于简单基线的结果具备后，再判断是否值得训练专用模型。这里不预先承诺具体模型或设备性能。</w:t>
      </w:r>
    </w:p>
    <w:p>
      <w:pPr>
        <w:pStyle w:val="Heading2"/>
      </w:pPr>
      <w:r>
        <w:rPr>
          <w:color w:val="000000"/>
        </w:rPr>
        <w:t>验证与推进顺序</w:t>
      </w:r>
    </w:p>
    <w:p>
      <w:r>
        <w:t>B44为P0关系定义和人工标注小样，先厘清“相关／反驳／无关”；B45为P1私人关系推荐，B46为P1评估与反馈闭环。至少构造或经同意采集30组样本，覆盖模糊和不相关反例；分别记录关系误判、反驳证据准确性与用户保留／再次使用。阈值在试验前制定，点击率不代表共鸣或正确；相关功能上线需先通过误判及隐私检查。</w:t>
      </w:r>
    </w:p>
    <w:p>
      <w:r>
        <w:br w:type="page"/>
      </w:r>
    </w:p>
    <w:p>
      <w:pPr>
        <w:pStyle w:val="Heading1"/>
      </w:pPr>
      <w:r>
        <w:rPr>
          <w:color w:val="000000"/>
        </w:rPr>
        <w:t>16  点、问题、意图与行动反馈</w:t>
      </w:r>
    </w:p>
    <w:p>
      <w:pPr>
        <w:pStyle w:val="Heading2"/>
      </w:pPr>
      <w:r>
        <w:rPr>
          <w:color w:val="000000"/>
        </w:rPr>
        <w:t>Point是可探索对象，不必先成为任务</w:t>
      </w:r>
    </w:p>
    <w:p>
      <w:r>
        <w:t>【用户方向】点可以是想法、问题，也可能承载意图。【设计建议】Point保存原始表达，类型可多选或未定；Question表达待解问题，Intent表达用户期望与约束。模型只建议类型，不能因一句愿望自动产生执行授权。</w:t>
      </w:r>
    </w:p>
    <w:p>
      <w:pPr>
        <w:pStyle w:val="Heading2"/>
      </w:pPr>
      <w:r>
        <w:rPr>
          <w:color w:val="000000"/>
        </w:rPr>
        <w:t>可解模型的基础</w:t>
      </w:r>
    </w:p>
    <w:p>
      <w:r>
        <w:t>把Point、关系、证据、约束与过程记录组织为可被不同求解器使用的上下文。系统保存问题状态和求解来源，模型负责解释、推断或提出候选。关系图、过程引擎与语言模型职责分开；不以训练新大模型作为成立条件。</w:t>
      </w:r>
    </w:p>
    <w:p>
      <w:pPr>
        <w:pStyle w:val="Heading2"/>
      </w:pPr>
      <w:r>
        <w:rPr>
          <w:color w:val="000000"/>
        </w:rPr>
        <w:t>最小闭环：先手工行动，再接外部执行</w:t>
      </w:r>
    </w:p>
    <w:p>
      <w:r>
        <w:t>从点子选择“形成行动”，用户填写目标、完成标准与下一步，先保存草稿；确认后进入待执行，开始、暂停、完成或失败均显式记录。首轮由人执行并回填结果，系统不能将“生成计划”标为“行动完成”。</w:t>
      </w:r>
    </w:p>
    <w:p>
      <w:pPr>
        <w:pStyle w:val="Heading2"/>
      </w:pPr>
      <w:r>
        <w:rPr>
          <w:color w:val="000000"/>
        </w:rPr>
        <w:t>观测与反馈是两层记录</w:t>
      </w:r>
    </w:p>
    <w:p>
      <w:r>
        <w:t>Observation保存实际观察、时间、来源及证据；Feedback比较预期与实际，记录继续、调整、暂停或结束的判断。失败和无结论也可保存。建议状态为草稿→待确认→就绪→进行中→完成／失败／取消；暂停可恢复，反馈形成新修订而不重写历史。</w:t>
      </w:r>
    </w:p>
    <w:p>
      <w:pPr>
        <w:pStyle w:val="Heading2"/>
      </w:pPr>
      <w:r>
        <w:rPr>
          <w:color w:val="000000"/>
        </w:rPr>
        <w:t>数据关系建议</w:t>
      </w:r>
    </w:p>
    <w:p>
      <w:r>
        <w:t>Point关联Intent／Question、Action、Observation和Feedback；Action记录point_id、目标、验收标准、状态、执行者、授权范围与幂等标识；Observation指向行动及证据，Feedback指向观测与后续决定。外部回执不等同目标达成，需按完成标准确认。</w:t>
      </w:r>
    </w:p>
    <w:p>
      <w:pPr>
        <w:pStyle w:val="Heading2"/>
      </w:pPr>
      <w:r>
        <w:rPr>
          <w:color w:val="000000"/>
        </w:rPr>
        <w:t>近期验收</w:t>
      </w:r>
    </w:p>
    <w:p>
      <w:r>
        <w:t>用一个真实点子完成手工行动、观察和回看；能追到原话、计划与证据。比较“只记录点子”与“行动后回看”的实际复用价值。iOS本地模型以设备／系统／语言和能力检测原型验证，不在本稿承诺未经核实的最低版本或所有设备可用。</w:t>
      </w:r>
    </w:p>
    <w:p>
      <w:r>
        <w:br w:type="page"/>
      </w:r>
    </w:p>
    <w:p>
      <w:pPr>
        <w:pStyle w:val="Heading1"/>
      </w:pPr>
      <w:r>
        <w:rPr>
          <w:color w:val="000000"/>
        </w:rPr>
        <w:t>17  探索分支、协同与过程节奏</w:t>
      </w:r>
    </w:p>
    <w:p>
      <w:pPr>
        <w:pStyle w:val="Heading2"/>
      </w:pPr>
      <w:r>
        <w:rPr>
          <w:color w:val="000000"/>
        </w:rPr>
        <w:t>分支与合并</w:t>
      </w:r>
    </w:p>
    <w:p>
      <w:r>
        <w:t>【用户隐喻】每次观察可开启不同的探索世界，分久必合、合久必分。【设计建议】同一源快照可派生多个Branch，记录假设、视角、观察与结果。分支属于探索上下文，不复制全部私人空间；用户可以切换、对比、归档。</w:t>
      </w:r>
    </w:p>
    <w:p>
      <w:pPr>
        <w:pStyle w:val="Heading2"/>
      </w:pPr>
      <w:r>
        <w:rPr>
          <w:color w:val="000000"/>
        </w:rPr>
        <w:t>合并不抹去差异</w:t>
      </w:r>
    </w:p>
    <w:p>
      <w:r>
        <w:t>选定分支后预览共同点、差异、冲突与来源；用户决定保留哪些内容，形成新的合并结果并引用各源分支。矛盾不能被自动压平，失败探索也保留历史。合并可撤销，原始分支不被删除。</w:t>
      </w:r>
    </w:p>
    <w:p>
      <w:pPr>
        <w:pStyle w:val="Heading2"/>
      </w:pPr>
      <w:r>
        <w:rPr>
          <w:color w:val="000000"/>
        </w:rPr>
        <w:t>与Agent及物理世界相连</w:t>
      </w:r>
    </w:p>
    <w:p>
      <w:r>
        <w:t>先通过有限适配器试验一个明确场景：计划→展示操作对象、参数、权限与预算→用户授权→执行→回执→观测验证。Agent间只交换被授权的上下文与状态；撤权阻断新执行，取消不承诺逆转已发生的物理动作。</w:t>
      </w:r>
    </w:p>
    <w:p>
      <w:pPr>
        <w:pStyle w:val="Heading2"/>
      </w:pPr>
      <w:r>
        <w:rPr>
          <w:color w:val="000000"/>
        </w:rPr>
        <w:t>节奏控制与可持续性</w:t>
      </w:r>
    </w:p>
    <w:p>
      <w:r>
        <w:t>水流与水压类比落实为队列、并发上限、速率、预算、超时与暂停。默认不因一个反馈无限派生任务；达到限额转为待用户处理。失败重试需有次数上限及幂等保护；执行未知状态先查询回执，避免重复外部动作。</w:t>
      </w:r>
    </w:p>
    <w:p>
      <w:pPr>
        <w:pStyle w:val="Heading2"/>
      </w:pPr>
      <w:r>
        <w:rPr>
          <w:color w:val="000000"/>
        </w:rPr>
        <w:t>分层架构建议</w:t>
      </w:r>
    </w:p>
    <w:p>
      <w:r>
        <w:t>交互层：对话／3D空间／过程面板；领域层：Point、Branch、Action、Observation、Feedback；编排层：状态机、权限、预算和事件；能力层：本地模型、用户授权云端Play、外部适配器；存储层：原文、证据、版本及可重建索引。模型建议不直接绕过编排层执行。</w:t>
      </w:r>
    </w:p>
    <w:p>
      <w:pPr>
        <w:pStyle w:val="Heading2"/>
      </w:pPr>
      <w:r>
        <w:rPr>
          <w:color w:val="000000"/>
        </w:rPr>
        <w:t>范围和证据门</w:t>
      </w:r>
    </w:p>
    <w:p>
      <w:r>
        <w:t>B47/B48/P1验证个人行动反馈；B49/P1验证分支交互、B50/P2实现合并；B51/P0验证本地能力；B52/P2验证执行前确认及过程限制；B53/P3外部Agent和设备适配；B54/P2做协同回放。外部试点须有具体需求、授权与取消验收；HTML仅模拟流程。</w:t>
      </w:r>
    </w:p>
    <w:p>
      <w:r>
        <w:br w:type="page"/>
      </w:r>
    </w:p>
    <w:p>
      <w:pPr>
        <w:pStyle w:val="Heading1"/>
      </w:pPr>
      <w:r>
        <w:rPr>
          <w:color w:val="000000"/>
        </w:rPr>
        <w:t>18  个人思考者的核心任务</w:t>
      </w:r>
    </w:p>
    <w:p>
      <w:pPr>
        <w:pStyle w:val="Heading2"/>
      </w:pPr>
      <w:r>
        <w:rPr>
          <w:color w:val="000000"/>
        </w:rPr>
        <w:t>服务对象与价值承诺</w:t>
      </w:r>
    </w:p>
    <w:p>
      <w:r>
        <w:t>【用户方向】先把个人思考者的痛点服务好。点界帮助用户留下还未成形的想法，并在之后找回当时的线索、继续自己的推理。价值成立于用户能够接续思考，而非记录更多或生成更多。</w:t>
      </w:r>
    </w:p>
    <w:p>
      <w:pPr>
        <w:pStyle w:val="Heading2"/>
      </w:pPr>
      <w:r>
        <w:rPr>
          <w:color w:val="000000"/>
        </w:rPr>
        <w:t>捕获与接续中的具体困难</w:t>
      </w:r>
    </w:p>
    <w:p>
      <w:r>
        <w:t>想法涌现时，打开应用、组织完整语言、起标题和分类都会增加负担；稍后只看到一句话，又可能忘记它为何重要。工作、学习、研究和灵感共用入口，允许半句话、问题或感受先保存。回看时从原文与上下文进入，用户可补充、连接旧点、提出下一问或形成行动。</w:t>
      </w:r>
    </w:p>
    <w:p>
      <w:pPr>
        <w:pStyle w:val="Heading2"/>
      </w:pPr>
      <w:r>
        <w:rPr>
          <w:color w:val="000000"/>
        </w:rPr>
        <w:t>思考障碍的产品表述</w:t>
      </w:r>
    </w:p>
    <w:p>
      <w:r>
        <w:t>【讨论问题】“是否算思考障碍”尚不是产品分类决定。对外描述使用“捕获困难”“思路容易中断”“记录后难以接续”等具体体验，不根据使用行为给用户贴诊断标签，也不将产品定位为诊断或治疗工具。</w:t>
      </w:r>
    </w:p>
    <w:p>
      <w:pPr>
        <w:pStyle w:val="Heading2"/>
      </w:pPr>
      <w:r>
        <w:rPr>
          <w:color w:val="000000"/>
        </w:rPr>
        <w:t>交互落点</w:t>
      </w:r>
    </w:p>
    <w:p>
      <w:r>
        <w:t>沿用大对话流：首次成功发送自动成点，后续消息继续同一点；不要求先解释清楚。保存后以轻量状态反馈，避免强制AI长回复。详情可展开上下文，回看可直接继续说；3D空间支持发现关系，文字搜索承担明确找回任务。</w:t>
      </w:r>
    </w:p>
    <w:p>
      <w:pPr>
        <w:pStyle w:val="Heading2"/>
      </w:pPr>
      <w:r>
        <w:rPr>
          <w:color w:val="000000"/>
        </w:rPr>
        <w:t>首轮用户验证</w:t>
      </w:r>
    </w:p>
    <w:p>
      <w:r>
        <w:t>【建议】沿用G0的5人原型测试，纳入记录习惯较弱但思考需求明确的参与者。分别观察无标题捕获、隔日找回并说出当时意图、补充一条新理解三个任务；记录耗时、放弃原因和上下文是否有帮助。至少4人独立完成仍为建议门槛，不能据此宣称认知改善。</w:t>
      </w:r>
    </w:p>
    <w:p>
      <w:pPr>
        <w:pStyle w:val="Heading2"/>
      </w:pPr>
      <w:r>
        <w:rPr>
          <w:color w:val="000000"/>
        </w:rPr>
        <w:t>范围与商业判断</w:t>
      </w:r>
    </w:p>
    <w:p>
      <w:r>
        <w:t>P0先验证捕获、找回与接续；P1再增强手工行动反馈和分支。付费假设围绕可靠保存、有效复用及可选高质量显影展开。公共共鸣、协作、交易和专用模型仍需后续证据，不以扩大愿景推迟个人闭环。</w:t>
      </w:r>
    </w:p>
    <w:p>
      <w:r>
        <w:br w:type="page"/>
      </w:r>
    </w:p>
    <w:p>
      <w:pPr>
        <w:pStyle w:val="Heading1"/>
      </w:pPr>
      <w:r>
        <w:rPr>
          <w:color w:val="000000"/>
        </w:rPr>
        <w:t>19  上下文与显影的版本关系</w:t>
      </w:r>
    </w:p>
    <w:p>
      <w:pPr>
        <w:pStyle w:val="Heading2"/>
      </w:pPr>
      <w:r>
        <w:rPr>
          <w:color w:val="000000"/>
        </w:rPr>
        <w:t>点与上下文的双重角色</w:t>
      </w:r>
    </w:p>
    <w:p>
      <w:r>
        <w:t>【用户探索】“点是上下文，上下文是点”表达了同一内容在不同观察范围中的角色变化。产品中，Point是可独立引用的记录；ContextSnapshot是本次理解所选取的条件及引用集合。一个点可成为另一个点的上下文；一组上下文经用户选择也可沉淀为新点，并保留来源。</w:t>
      </w:r>
    </w:p>
    <w:p>
      <w:pPr>
        <w:pStyle w:val="Heading2"/>
      </w:pPr>
      <w:r>
        <w:rPr>
          <w:color w:val="000000"/>
        </w:rPr>
        <w:t>区分当时与本次</w:t>
      </w:r>
    </w:p>
    <w:p>
      <w:r>
        <w:t>记录时的上下文回答“这句话在什么情况下留下”；显影时的上下文回答“现在带着什么问题理解它”。首次发送保存时间与来源，用户可追加情境说明；位置可缺省。后补说明记录补充时间与来源，不伪装成当时采集。模型推断的情境单独标注，用户可修正或移除。</w:t>
      </w:r>
    </w:p>
    <w:p>
      <w:pPr>
        <w:pStyle w:val="Heading2"/>
      </w:pPr>
      <w:r>
        <w:rPr>
          <w:color w:val="000000"/>
        </w:rPr>
        <w:t>最小数据契约</w:t>
      </w:r>
    </w:p>
    <w:p>
      <w:r>
        <w:t>【实现建议】ContextSnapshot包含id、captured_at、timezone或偏移、source、user_note、可选location及其来源/精度、point_version_refs。PlaySession引用context_snapshot_id，并保存输入版本、视角、提示配置版本及执行位置。字段不可得时显式为空；快照不可静默跟随源点更新。</w:t>
      </w:r>
    </w:p>
    <w:p>
      <w:pPr>
        <w:pStyle w:val="Heading2"/>
      </w:pPr>
      <w:r>
        <w:rPr>
          <w:color w:val="000000"/>
        </w:rPr>
        <w:t>模型变化后的显影</w:t>
      </w:r>
    </w:p>
    <w:p>
      <w:r>
        <w:t>同一个Point在新的问题、关联内容或模型下可能产生不同解读。重新显影创建新Result，保留原文和旧结果。记录可取得的模型标识与版本、生成时间、输入及上下文快照，允许并列比较并由用户选择采纳。来源可追溯不等于能够逐字复现模型输出，也不等于解释模型内部推理。</w:t>
      </w:r>
    </w:p>
    <w:p>
      <w:pPr>
        <w:pStyle w:val="Heading2"/>
      </w:pPr>
      <w:r>
        <w:rPr>
          <w:color w:val="000000"/>
        </w:rPr>
        <w:t>例子与边界</w:t>
      </w:r>
    </w:p>
    <w:p>
      <w:r>
        <w:t>“这里太安静了”在图书馆可能表达满意，在聚会后也可能表达失落。系统保存用户提供的场景，而不从地点直接认定情绪。几个月后，用户可带着新问题重新理解这句话；新的解释作为候选，与原始记录及此前显影并存。</w:t>
      </w:r>
    </w:p>
    <w:p>
      <w:pPr>
        <w:pStyle w:val="Heading2"/>
      </w:pPr>
      <w:r>
        <w:rPr>
          <w:color w:val="000000"/>
        </w:rPr>
        <w:t>验收与分期</w:t>
      </w:r>
    </w:p>
    <w:p>
      <w:r>
        <w:t>P0保存最小上下文、输入快照和显影来源；验证无位置也能成点、修改原点不改历史快照、换模型不覆盖旧结果、云端范围包含实际选用的上下文。P1再试上下文比较及用户控制的重新显影；不因模型升级自动批量生成或上传。</w:t>
      </w:r>
    </w:p>
    <w:p>
      <w:r>
        <w:br w:type="page"/>
      </w:r>
    </w:p>
    <w:p>
      <w:pPr>
        <w:pStyle w:val="Heading1"/>
      </w:pPr>
      <w:r>
        <w:rPr>
          <w:color w:val="000000"/>
        </w:rPr>
        <w:t>20  可穿戴入口与情境捕获</w:t>
      </w:r>
    </w:p>
    <w:p>
      <w:pPr>
        <w:pStyle w:val="Heading2"/>
      </w:pPr>
      <w:r>
        <w:rPr>
          <w:color w:val="000000"/>
        </w:rPr>
        <w:t>设备角色与当前状态</w:t>
      </w:r>
    </w:p>
    <w:p>
      <w:r>
        <w:t>【讨论方向】探索让点界服务AI眼镜App，并利用Apple Watch场景中的时间、地点线索。定位为个人思考的捕获入口与可选回看入口。尚未确定设备、系统版本、SDK、权限与合作条件；此处定义产品需求，具体开放能力须通过官方资料和真机验证后承诺。</w:t>
      </w:r>
    </w:p>
    <w:p>
      <w:pPr>
        <w:pStyle w:val="Heading2"/>
      </w:pPr>
      <w:r>
        <w:rPr>
          <w:color w:val="000000"/>
        </w:rPr>
        <w:t>手机与设备之间的分工</w:t>
      </w:r>
    </w:p>
    <w:p>
      <w:r>
        <w:t>【实现建议】手机承载完整对话、私人存储、3D空间与显影。手表候选体验为用户主动短语音记录与轻量保存反馈；眼镜候选体验为主动语音及设备允许的场景附件。穿戴端不要求操作完整3D点图，也不假设可以持续获取摄像头、麦克风或后台位置。</w:t>
      </w:r>
    </w:p>
    <w:p>
      <w:pPr>
        <w:pStyle w:val="Heading2"/>
      </w:pPr>
      <w:r>
        <w:rPr>
          <w:color w:val="000000"/>
        </w:rPr>
        <w:t>时间地点与权限</w:t>
      </w:r>
    </w:p>
    <w:p>
      <w:r>
        <w:t>时间与来源可作为最小上下文；地点按需、可选且可移除。授权拒绝、定位失败或信息过期时仍保存原始表达，显示未知或实际采集时间。系统地点与用户写的场景分开记录；获得传感权限不等于允许向模型上传。首轮不依赖全天跟踪或地理围栏提醒。</w:t>
      </w:r>
    </w:p>
    <w:p>
      <w:pPr>
        <w:pStyle w:val="Heading2"/>
      </w:pPr>
      <w:r>
        <w:rPr>
          <w:color w:val="000000"/>
        </w:rPr>
        <w:t>可靠交付与会话边界</w:t>
      </w:r>
    </w:p>
    <w:p>
      <w:r>
        <w:t>候选流程为主动开始记录、设备确认本地保存、具备条件后传给手机、归入一个Point。记录ID用于重传去重；“已在设备保存”与“已同步到手机”分开反馈。设备存储能力不足则明确失败。一次明确录入会话对应一个点，不能仅凭时间接近就合并不同想法。</w:t>
      </w:r>
    </w:p>
    <w:p>
      <w:pPr>
        <w:pStyle w:val="Heading2"/>
      </w:pPr>
      <w:r>
        <w:rPr>
          <w:color w:val="000000"/>
        </w:rPr>
        <w:t>先验证能力再交付</w:t>
      </w:r>
    </w:p>
    <w:p>
      <w:r>
        <w:t>P1开展能力研究和入口原型，列出具体设备、输入方式、启动方式、离线保存、手机传输及权限限制，并以官方依据和真机结果记录支持/不支持/未知。P2在手机闭环成立后选择一个设备试点。原B53的外部执行与Agent适配仍属P3，捕获试验不自动扩大执行权限。</w:t>
      </w:r>
    </w:p>
    <w:p>
      <w:pPr>
        <w:pStyle w:val="Heading2"/>
      </w:pPr>
      <w:r>
        <w:rPr>
          <w:color w:val="000000"/>
        </w:rPr>
        <w:t>试点的决策证据</w:t>
      </w:r>
    </w:p>
    <w:p>
      <w:r>
        <w:t>与手机入口比较从产生想法到可靠保存的耗时、成功率及打断程度；验证断连重传不重复、拒绝位置仍可记录、附件失败不丢文字或原音。只有捕获负担下降且可靠性成立才扩大投入。若开放能力不足，保留手机入口；不得将概念原型写成设备已接入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PointVerse" w:initials="" w:date="2026-09-09T02:42:14Z">
    <w:p>
      <w:pPr>
        <w:pStyle w:val="CommentText"/>
      </w:pPr>
      <w:r>
        <w:rPr>
          <w:rStyle w:val="CommentReference"/>
        </w:rPr>
        <w:annotationRef/>
      </w:r>
      <w:r>
        <w:t>v0.9：依据9月9日讨论更新定位或上下文定义；实现字段与验收仍为建议。</w:t>
      </w:r>
    </w:p>
  </w:comment>
  <w:comment w:id="1" w:author="PointVerse" w:initials="" w:date="2026-09-09T02:42:14Z">
    <w:p>
      <w:pPr>
        <w:pStyle w:val="CommentText"/>
      </w:pPr>
      <w:r>
        <w:rPr>
          <w:rStyle w:val="CommentReference"/>
        </w:rPr>
        <w:annotationRef/>
      </w:r>
      <w:r>
        <w:t>v0.9：依据9月9日讨论更新定位或上下文定义；实现字段与验收仍为建议。</w:t>
      </w:r>
    </w:p>
  </w:comment>
  <w:comment w:id="2" w:author="PointVerse" w:initials="" w:date="2026-09-09T02:42:14Z">
    <w:p>
      <w:pPr>
        <w:pStyle w:val="CommentText"/>
      </w:pPr>
      <w:r>
        <w:rPr>
          <w:rStyle w:val="CommentReference"/>
        </w:rPr>
        <w:annotationRef/>
      </w:r>
      <w:r>
        <w:t>v0.9：依据9月9日讨论更新定位或上下文定义；实现字段与验收仍为建议。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ubtitle"/>
    </w:pPr>
    <w:r>
      <w:t>POINTVERSE / 点界                                      产品定义 · v0.9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eastAsia="Noto Sans CJK SC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exact"/>
      <w:snapToGrid w:val="0"/>
      <w:snapToGrid w:val="0"/>
    </w:pPr>
    <w:rPr>
      <w:rFonts w:ascii="Calibri" w:hAnsi="Calibri" w:eastAsia="Noto Sans CJK SC"/>
      <w:color w:val="20283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snapToGrid w:val="0"/>
      <w:snapToGrid w:val="0"/>
    </w:pPr>
    <w:rPr>
      <w:rFonts w:eastAsia="Noto Sans CJK SC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eastAsia="Noto Sans CJK SC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snapToGrid w:val="0"/>
      <w:snapToGrid w:val="0"/>
    </w:pPr>
    <w:rPr>
      <w:rFonts w:eastAsia="Noto Sans CJK SC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eastAsia="Noto Sans CJK SC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  <w:snapToGrid w:val="0"/>
      <w:snapToGrid w:val="0"/>
    </w:pPr>
    <w:rPr>
      <w:rFonts w:asciiTheme="majorHAnsi" w:eastAsiaTheme="majorEastAsia" w:hAnsiTheme="majorHAnsi" w:cstheme="majorBidi" w:ascii="Calibri" w:hAnsi="Calibri" w:eastAsia="Noto Sans CJK SC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  <w:snapToGrid w:val="0"/>
      <w:snapToGrid w:val="0"/>
    </w:pPr>
    <w:rPr>
      <w:rFonts w:asciiTheme="majorHAnsi" w:eastAsiaTheme="majorEastAsia" w:hAnsiTheme="majorHAnsi" w:cstheme="majorBidi" w:ascii="Calibri" w:hAnsi="Calibri" w:eastAsia="Noto Sans CJK S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  <w:snapToGrid w:val="0"/>
      <w:snapToGrid w:val="0"/>
    </w:pPr>
    <w:rPr>
      <w:rFonts w:asciiTheme="majorHAnsi" w:eastAsiaTheme="majorEastAsia" w:hAnsiTheme="majorHAnsi" w:cstheme="majorBidi" w:ascii="Calibri" w:hAnsi="Calibri" w:eastAsia="Noto Sans CJK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  <w:snapToGrid w:val="0"/>
      <w:snapToGrid w:val="0"/>
    </w:pPr>
    <w:rPr>
      <w:rFonts w:asciiTheme="majorHAnsi" w:eastAsiaTheme="majorEastAsia" w:hAnsiTheme="majorHAnsi" w:cstheme="majorBidi" w:eastAsia="Noto Sans CJK SC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  <w:snapToGrid w:val="0"/>
      <w:snapToGrid w:val="0"/>
    </w:pPr>
    <w:rPr>
      <w:rFonts w:asciiTheme="majorHAnsi" w:eastAsiaTheme="majorEastAsia" w:hAnsiTheme="majorHAnsi" w:cstheme="majorBidi" w:eastAsia="Noto Sans CJK SC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  <w:snapToGrid w:val="0"/>
      <w:snapToGrid w:val="0"/>
    </w:pPr>
    <w:rPr>
      <w:rFonts w:asciiTheme="majorHAnsi" w:eastAsiaTheme="majorEastAsia" w:hAnsiTheme="majorHAnsi" w:cstheme="majorBidi" w:eastAsia="Noto Sans CJK SC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  <w:snapToGrid w:val="0"/>
      <w:snapToGrid w:val="0"/>
    </w:pPr>
    <w:rPr>
      <w:rFonts w:asciiTheme="majorHAnsi" w:eastAsiaTheme="majorEastAsia" w:hAnsiTheme="majorHAnsi" w:cstheme="majorBidi" w:eastAsia="Noto Sans CJK SC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  <w:snapToGrid w:val="0"/>
      <w:snapToGrid w:val="0"/>
    </w:pPr>
    <w:rPr>
      <w:rFonts w:asciiTheme="majorHAnsi" w:eastAsiaTheme="majorEastAsia" w:hAnsiTheme="majorHAnsi" w:cstheme="majorBidi" w:eastAsia="Noto Sans CJK SC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  <w:snapToGrid w:val="0"/>
      <w:snapToGrid w:val="0"/>
    </w:pPr>
    <w:rPr>
      <w:rFonts w:asciiTheme="majorHAnsi" w:eastAsiaTheme="majorEastAsia" w:hAnsiTheme="majorHAnsi" w:cstheme="majorBidi" w:eastAsia="Noto Sans CJK SC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eastAsia="Noto Sans CJK SC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  <w:snapToGrid w:val="0"/>
      <w:snapToGrid w:val="0"/>
    </w:pPr>
    <w:rPr>
      <w:rFonts w:eastAsia="Noto Sans CJK SC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eastAsia="Noto Sans CJK SC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eastAsia="Noto Sans CJK SC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eastAsia="Noto Sans CJK SC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64" w:lineRule="auto" w:before="0"/>
      <w:contextualSpacing/>
      <w:snapToGrid w:val="0"/>
      <w:snapToGrid w:val="0"/>
    </w:pPr>
    <w:rPr>
      <w:rFonts w:asciiTheme="majorHAnsi" w:eastAsiaTheme="majorEastAsia" w:hAnsiTheme="majorHAnsi" w:cstheme="majorBidi" w:ascii="Calibri" w:hAnsi="Calibri" w:eastAsia="Noto Sans CJK SC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eastAsia="Noto Sans CJK SC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160" w:line="300" w:lineRule="exact"/>
      <w:snapToGrid w:val="0"/>
      <w:snapToGrid w:val="0"/>
    </w:pPr>
    <w:rPr>
      <w:rFonts w:asciiTheme="majorHAnsi" w:eastAsiaTheme="majorEastAsia" w:hAnsiTheme="majorHAnsi" w:cstheme="majorBidi" w:ascii="Calibri" w:hAnsi="Calibri" w:eastAsia="Noto Sans CJK SC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eastAsia="Noto Sans CJK SC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  <w:snapToGrid w:val="0"/>
      <w:snapToGrid w:val="0"/>
    </w:pPr>
    <w:rPr>
      <w:rFonts w:eastAsia="Noto Sans CJK SC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snapToGrid w:val="0"/>
      <w:snapToGrid w:val="0"/>
    </w:pPr>
    <w:rPr>
      <w:rFonts w:eastAsia="Noto Sans CJK SC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eastAsia="Noto Sans CJK SC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  <w:snapToGrid w:val="0"/>
      <w:snapToGrid w:val="0"/>
    </w:pPr>
    <w:rPr>
      <w:rFonts w:eastAsia="Noto Sans CJK SC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eastAsia="Noto Sans CJK SC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  <w:snapToGrid w:val="0"/>
      <w:snapToGrid w:val="0"/>
    </w:pPr>
    <w:rPr>
      <w:rFonts w:eastAsia="Noto Sans CJK SC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eastAsia="Noto Sans CJK SC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  <w:snapToGrid w:val="0"/>
      <w:snapToGrid w:val="0"/>
    </w:pPr>
    <w:rPr>
      <w:rFonts w:eastAsia="Noto Sans CJK SC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  <w:snapToGrid w:val="0"/>
      <w:snapToGrid w:val="0"/>
    </w:pPr>
    <w:rPr>
      <w:rFonts w:eastAsia="Noto Sans CJK SC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  <w:snapToGrid w:val="0"/>
      <w:snapToGrid w:val="0"/>
    </w:pPr>
    <w:rPr>
      <w:rFonts w:eastAsia="Noto Sans CJK SC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snapToGrid w:val="0"/>
      <w:snapToGrid w:val="0"/>
    </w:pPr>
    <w:rPr>
      <w:rFonts w:eastAsia="Noto Sans CJK S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  <w:snapToGrid w:val="0"/>
      <w:snapToGrid w:val="0"/>
    </w:pPr>
    <w:rPr>
      <w:rFonts w:eastAsia="Noto Sans CJK SC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  <w:snapToGrid w:val="0"/>
      <w:snapToGrid w:val="0"/>
    </w:pPr>
    <w:rPr>
      <w:rFonts w:eastAsia="Noto Sans CJK SC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  <w:snapToGrid w:val="0"/>
      <w:snapToGrid w:val="0"/>
    </w:pPr>
    <w:rPr>
      <w:rFonts w:eastAsia="Noto Sans CJK SC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  <w:snapToGrid w:val="0"/>
      <w:snapToGrid w:val="0"/>
    </w:pPr>
    <w:rPr>
      <w:rFonts w:eastAsia="Noto Sans CJK SC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  <w:snapToGrid w:val="0"/>
      <w:snapToGrid w:val="0"/>
    </w:pPr>
    <w:rPr>
      <w:rFonts w:eastAsia="Noto Sans CJK SC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  <w:snapToGrid w:val="0"/>
      <w:snapToGrid w:val="0"/>
    </w:pPr>
    <w:rPr>
      <w:rFonts w:eastAsia="Noto Sans CJK SC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  <w:snapToGrid w:val="0"/>
      <w:snapToGrid w:val="0"/>
    </w:pPr>
    <w:rPr>
      <w:rFonts w:eastAsia="Noto Sans CJK SC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  <w:snapToGrid w:val="0"/>
      <w:snapToGrid w:val="0"/>
    </w:pPr>
    <w:rPr>
      <w:rFonts w:eastAsia="Noto Sans CJK SC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napToGrid w:val="0"/>
      <w:snapToGrid w:val="0"/>
    </w:pPr>
    <w:rPr>
      <w:rFonts w:ascii="Courier" w:hAnsi="Courier" w:eastAsia="Noto Sans CJK SC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 w:eastAsia="Noto Sans CJK SC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napToGrid w:val="0"/>
      <w:snapToGrid w:val="0"/>
    </w:pPr>
    <w:rPr>
      <w:rFonts w:eastAsia="Noto Sans CJK SC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eastAsia="Noto Sans CJK SC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eastAsia="Noto Sans CJK SC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eastAsia="Noto Sans CJK SC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eastAsia="Noto Sans CJK SC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eastAsia="Noto Sans CJK SC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eastAsia="Noto Sans CJK SC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eastAsia="Noto Sans CJK SC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snapToGrid w:val="0"/>
      <w:snapToGrid w:val="0"/>
    </w:pPr>
    <w:rPr>
      <w:rFonts w:eastAsia="Noto Sans CJK SC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eastAsia="Noto Sans CJK SC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eastAsia="Noto Sans CJK SC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  <w:snapToGrid w:val="0"/>
      <w:snapToGrid w:val="0"/>
    </w:pPr>
    <w:rPr>
      <w:rFonts w:eastAsia="Noto Sans CJK SC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eastAsia="Noto Sans CJK SC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eastAsia="Noto Sans CJK SC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eastAsia="Noto Sans CJK SC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eastAsia="Noto Sans CJK SC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eastAsia="Noto Sans CJK SC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eastAsia="Noto Sans CJK SC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  <w:snapToGrid w:val="0"/>
      <w:snapToGrid w:val="0"/>
    </w:pPr>
    <w:rPr>
      <w:rFonts w:eastAsia="Noto Sans CJK SC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eastAsia="Noto Sans CJK SC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eastAsia="Noto Sans CJK SC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eastAsia="Noto Sans CJK SC"/>
        <w:b/>
        <w:bCs/>
      </w:rPr>
    </w:tblStylePr>
    <w:tblStylePr w:type="lastCol">
      <w:rPr>
        <w:rFonts w:asciiTheme="majorHAnsi" w:eastAsiaTheme="majorEastAsia" w:hAnsiTheme="majorHAnsi" w:cstheme="majorBidi" w:eastAsia="Noto Sans CJK SC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eastAsia="Noto Sans CJK SC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eastAsia="Noto Sans CJK SC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eastAsia="Noto Sans CJK SC"/>
        <w:b/>
        <w:bCs/>
      </w:rPr>
    </w:tblStylePr>
    <w:tblStylePr w:type="lastCol">
      <w:rPr>
        <w:rFonts w:asciiTheme="majorHAnsi" w:eastAsiaTheme="majorEastAsia" w:hAnsiTheme="majorHAnsi" w:cstheme="majorBidi" w:eastAsia="Noto Sans CJK SC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eastAsia="Noto Sans CJK SC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eastAsia="Noto Sans CJK SC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eastAsia="Noto Sans CJK SC"/>
        <w:b/>
        <w:bCs/>
      </w:rPr>
    </w:tblStylePr>
    <w:tblStylePr w:type="lastCol">
      <w:rPr>
        <w:rFonts w:asciiTheme="majorHAnsi" w:eastAsiaTheme="majorEastAsia" w:hAnsiTheme="majorHAnsi" w:cstheme="majorBidi" w:eastAsia="Noto Sans CJK SC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eastAsia="Noto Sans CJK SC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eastAsia="Noto Sans CJK SC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eastAsia="Noto Sans CJK SC"/>
        <w:b/>
        <w:bCs/>
      </w:rPr>
    </w:tblStylePr>
    <w:tblStylePr w:type="lastCol">
      <w:rPr>
        <w:rFonts w:asciiTheme="majorHAnsi" w:eastAsiaTheme="majorEastAsia" w:hAnsiTheme="majorHAnsi" w:cstheme="majorBidi" w:eastAsia="Noto Sans CJK SC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eastAsia="Noto Sans CJK SC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eastAsia="Noto Sans CJK SC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eastAsia="Noto Sans CJK SC"/>
        <w:b/>
        <w:bCs/>
      </w:rPr>
    </w:tblStylePr>
    <w:tblStylePr w:type="lastCol">
      <w:rPr>
        <w:rFonts w:asciiTheme="majorHAnsi" w:eastAsiaTheme="majorEastAsia" w:hAnsiTheme="majorHAnsi" w:cstheme="majorBidi" w:eastAsia="Noto Sans CJK SC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eastAsia="Noto Sans CJK SC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eastAsia="Noto Sans CJK SC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eastAsia="Noto Sans CJK SC"/>
        <w:b/>
        <w:bCs/>
      </w:rPr>
    </w:tblStylePr>
    <w:tblStylePr w:type="lastCol">
      <w:rPr>
        <w:rFonts w:asciiTheme="majorHAnsi" w:eastAsiaTheme="majorEastAsia" w:hAnsiTheme="majorHAnsi" w:cstheme="majorBidi" w:eastAsia="Noto Sans CJK SC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eastAsia="Noto Sans CJK SC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eastAsia="Noto Sans CJK SC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eastAsia="Noto Sans CJK SC"/>
        <w:b/>
        <w:bCs/>
      </w:rPr>
    </w:tblStylePr>
    <w:tblStylePr w:type="lastCol">
      <w:rPr>
        <w:rFonts w:asciiTheme="majorHAnsi" w:eastAsiaTheme="majorEastAsia" w:hAnsiTheme="majorHAnsi" w:cstheme="majorBidi" w:eastAsia="Noto Sans CJK SC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eastAsia="Noto Sans CJK SC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eastAsia="Noto Sans CJK SC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eastAsia="Noto Sans CJK SC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eastAsia="Noto Sans CJK SC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eastAsia="Noto Sans CJK SC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eastAsia="Noto Sans CJK SC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eastAsia="Noto Sans CJK SC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