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Conductor Database Migration</w:t>
      </w:r>
    </w:p>
    <w:p>
      <w:pPr>
        <w:spacing w:after="40"/>
      </w:pPr>
      <w:r>
        <w:rPr>
          <w:color w:val="5A6470"/>
          <w:sz w:val="24"/>
          <w:szCs w:val="24"/>
        </w:rPr>
        <w:t xml:space="preserve">Postgres → Postgres, zero data loss, minimal downtime</w:t>
      </w:r>
    </w:p>
    <w:p>
      <w:pPr>
        <w:pBdr>
          <w:bottom w:val="single" w:color="1F5FA8" w:sz="8" w:space="6"/>
        </w:pBdr>
        <w:spacing w:after="200"/>
      </w:pPr>
    </w:p>
    <w:p>
      <w:pPr>
        <w:pStyle w:val="Heading1"/>
        <w:spacing w:after="100" w:before="240"/>
      </w:pPr>
      <w:r>
        <w:t xml:space="preserve">1. Goal</w:t>
      </w:r>
    </w:p>
    <w:p>
      <w:pPr>
        <w:spacing w:after="120"/>
      </w:pPr>
      <w:r>
        <w:t xml:space="preserve">Move each tenant’s Conductor workflow data off its own dedicated Postgres database onto consolidated databases on a shared Postgres host — without losing any in-flight work and with only a brief switch-over. Conductor uses Scylla or Postgres for storage; native database replication cannot bridge that gap, so we built an application-level migrator that works regardless of the source engine.</w:t>
      </w:r>
    </w:p>
    <w:p>
      <w:pPr>
        <w:pStyle w:val="Heading1"/>
        <w:spacing w:after="100" w:before="240"/>
      </w:pPr>
      <w:r>
        <w:t xml:space="preserve">2. What We Built — The Migrator</w:t>
      </w:r>
    </w:p>
    <w:p>
      <w:pPr>
        <w:spacing w:after="120"/>
      </w:pPr>
      <w:r>
        <w:t xml:space="preserve">A small, standalone service that runs on Kubernetes next to the destination. In one line:</w:t>
      </w:r>
    </w:p>
    <w:p>
      <w:pPr>
        <w:spacing w:after="120"/>
      </w:pPr>
      <w:r>
        <w:rPr>
          <w:i/>
          <w:iCs/>
          <w:color w:val="2C3E50"/>
        </w:rPr>
        <w:t xml:space="preserve">It reads workflow data from the source Conductor over its REST API, and writes it into the destination Postgres using Conductor’s own persistence code — so the rows are exactly what Conductor expects.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</w:t>
      </w:r>
      <w:r>
        <w:t xml:space="preserve">: reads over REST, so the source database engine (Postgres or Scylla) does not matter.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Destination</w:t>
      </w:r>
      <w:r>
        <w:t xml:space="preserve">: writes directly to Postgres via Conductor’s embedded data-access code (no hand-written SQL).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Safe</w:t>
      </w:r>
      <w:r>
        <w:t xml:space="preserve">: the source keeps running and stays the source of truth until the final switch.</w:t>
      </w:r>
    </w:p>
    <w:p>
      <w:pPr>
        <w:pStyle w:val="Heading1"/>
        <w:spacing w:after="100" w:before="240"/>
      </w:pPr>
      <w:r>
        <w:t xml:space="preserve">3. How It Works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Create schema</w:t>
      </w:r>
      <w:r>
        <w:t xml:space="preserve"> — builds the destination tables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Copy definitions</w:t>
      </w:r>
      <w:r>
        <w:t xml:space="preserve"> — task and workflow definitions, event handlers.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Back-fill history</w:t>
      </w:r>
      <w:r>
        <w:t xml:space="preserve"> — one-time copy of past (completed) workflows, automatically sliced by time so any volume can be handled.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Continuous sync</w:t>
      </w:r>
      <w:r>
        <w:rPr>
          <w:b/>
          <w:bCs/>
          <w:color w:val="1F5FA8"/>
        </w:rPr>
        <w:t xml:space="preserve">DELTA = 0</w:t>
      </w:r>
      <w:r>
        <w:t xml:space="preserve"> — the signal that it is safe to switch.</w:t>
      </w:r>
    </w:p>
    <w:p>
      <w:pPr>
        <w:spacing w:after="120"/>
      </w:pPr>
      <w:r>
        <w:rPr>
          <w:color w:val="5A6470"/>
        </w:rPr>
        <w:t xml:space="preserve">Copies are kept “dormant” (not activated) so the old and new systems never run the same workflow at once.</w:t>
      </w:r>
    </w:p>
    <w:p>
      <w:pPr>
        <w:pStyle w:val="Heading1"/>
        <w:spacing w:after="100" w:before="240"/>
      </w:pPr>
      <w:r>
        <w:t xml:space="preserve">4. Poll Data &amp; Coverage</w:t>
      </w:r>
    </w:p>
    <w:p>
      <w:pPr>
        <w:spacing w:after="120"/>
      </w:pPr>
      <w:r>
        <w:t xml:space="preserve">The migrator copies everything that carries workflow state: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state (workflows and tasks), search indexes, definitions, and poll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Note</w:t>
      </w:r>
      <w:r>
        <w:t xml:space="preserve">: queues live in Redis (not the database) and are carried over automatically at cutover — which is what preserves in-flight timers.</w:t>
      </w:r>
    </w:p>
    <w:p>
      <w:pPr>
        <w:pStyle w:val="Heading1"/>
        <w:spacing w:after="100" w:before="240"/>
      </w:pPr>
      <w:r>
        <w:t xml:space="preserve">5. Cutover — The Switch</w:t>
      </w:r>
    </w:p>
    <w:p>
      <w:pPr>
        <w:spacing w:after="120"/>
      </w:pPr>
      <w:r>
        <w:t xml:space="preserve">At the switch, the migrated copies (kept dormant until now) must be activated on the destination. There are two paths, depending on whether the destination reuses the source’s Redis or gets a fresh one.</w:t>
      </w:r>
    </w:p>
    <w:p>
      <w:pPr>
        <w:pStyle w:val="Heading2"/>
        <w:spacing w:after="100" w:before="240"/>
      </w:pPr>
      <w:r>
        <w:t xml:space="preserve">Option A — Same Redis (used for this migration)</w:t>
      </w:r>
    </w:p>
    <w:p>
      <w:pPr>
        <w:spacing w:after="120"/>
      </w:pPr>
      <w:r>
        <w:t xml:space="preserve">Reuse the source’s Redis. The work queues and in-flight timers already live there, so once the Conductor is pointed at the new database it simply continues — no per-workflow action needed.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Freeze the source and confirm </w:t>
      </w:r>
      <w:r>
        <w:rPr>
          <w:b/>
          <w:bCs/>
        </w:rPr>
        <w:t xml:space="preserve">DELTA = 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Point the Conductor at the </w:t>
      </w:r>
      <w:r>
        <w:rPr>
          <w:b/>
          <w:bCs/>
        </w:rPr>
        <w:t xml:space="preserve">new database</w:t>
      </w:r>
      <w:r>
        <w:t xml:space="preserve"> while keeping the </w:t>
      </w:r>
      <w:r>
        <w:rPr>
          <w:b/>
          <w:bCs/>
        </w:rPr>
        <w:t xml:space="preserve">same Redis</w:t>
      </w:r>
      <w:r>
        <w:t xml:space="preserve">. In-flight work resumes seamlessly.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Keep the old database as an instant rollback.</w:t>
      </w:r>
    </w:p>
    <w:p>
      <w:pPr>
        <w:pStyle w:val="Heading2"/>
        <w:spacing w:after="100" w:before="240"/>
      </w:pPr>
      <w:r>
        <w:t xml:space="preserve">Option B — New Redis (automatic verifyAndRepair)</w:t>
      </w:r>
    </w:p>
    <w:p>
      <w:pPr>
        <w:spacing w:after="120"/>
      </w:pPr>
      <w:r>
        <w:t xml:space="preserve">If the destination runs on its own fresh Redis, the migrated copies start dormant — their queue entries were not carried over. The migrator then automatically “wakes up” every migrated workflow by calling Conductor’s verifyAndRepair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call per workflow, run as an automated pass over all migrated workflows — no manual, per-workflow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verifyAndRepair rebuilds each workflow’s queue and scheduler entries in the new Redis, so the engine picks it up and resumes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Caveat</w:t>
      </w:r>
      <w:r>
        <w:t xml:space="preserve">: time-based WAIT tasks rely on a Redis timer that verifyAndRepair does not restore — those need the same-Redis path (Option A) or a separate timer re-arm. This is why Option A was chosen for these migrations.</w:t>
      </w:r>
    </w:p>
    <w:p>
      <w:pPr>
        <w:pStyle w:val="Heading1"/>
        <w:spacing w:after="100" w:before="240"/>
      </w:pPr>
      <w:r>
        <w:t xml:space="preserve">6. Successfully Migrated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shd w:fill="1F5FA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Tenant</w:t>
            </w:r>
          </w:p>
        </w:tc>
        <w:tc>
          <w:tcPr>
            <w:tcW w:type="dxa" w:w="3800"/>
            <w:shd w:fill="1F5FA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Destination database</w:t>
            </w:r>
          </w:p>
        </w:tc>
        <w:tc>
          <w:tcPr>
            <w:tcW w:type="dxa" w:w="2960"/>
            <w:shd w:fill="1F5FA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</w:rPr>
              <w:t xml:space="preserve">freshservice</w:t>
            </w:r>
          </w:p>
        </w:tc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conductor_freshservice</w:t>
            </w:r>
          </w:p>
        </w:tc>
        <w:tc>
          <w:tcPr>
            <w:tcW w:type="dxa" w:w="2960"/>
            <w:shd w:fill="EAF0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Cut over ✓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</w:rPr>
              <w:t xml:space="preserve">sip</w:t>
            </w:r>
          </w:p>
        </w:tc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conductor_sip</w:t>
            </w:r>
          </w:p>
        </w:tc>
        <w:tc>
          <w:tcPr>
            <w:tcW w:type="dxa" w:w="2960"/>
            <w:shd w:fill="EAF0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Migrated ✓</w:t>
            </w:r>
          </w:p>
        </w:tc>
      </w:tr>
    </w:tbl>
    <w:p>
      <w:pPr>
        <w:spacing w:before="120"/>
      </w:pPr>
      <w:r>
        <w:rPr>
          <w:color w:val="5A6470"/>
          <w:sz w:val="20"/>
          <w:szCs w:val="20"/>
        </w:rPr>
        <w:t xml:space="preserve">For sip: definitions + poll data copied, ~46k workflows back-filled (from Jan 2025), and the in-flight set kept continuously in sync at DELTA = 0 — verified against the source before switch-over.</w:t>
      </w:r>
    </w:p>
    <w:p>
      <w:pPr>
        <w:pStyle w:val="Heading1"/>
        <w:spacing w:after="100" w:before="240"/>
      </w:pPr>
      <w:r>
        <w:t xml:space="preserve">7. Why It’s Safe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Idempotent</w:t>
      </w:r>
      <w:r>
        <w:t xml:space="preserve">: re-running never duplicates data — every write is an insert-or-update.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Read-only source</w:t>
      </w:r>
      <w:r>
        <w:t xml:space="preserve">: the migrator only reads the source; it never modifies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Rollback</w:t>
      </w:r>
      <w:r>
        <w:t xml:space="preserve">: the old database is untouched and available for instant rollback.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Single-writer switch</w:t>
      </w:r>
      <w:r>
        <w:t xml:space="preserve">: only one system writes at a time — no double execution.</w:t>
      </w:r>
    </w:p>
    <w:p>
      <w:pPr>
        <w:pBdr>
          <w:top w:val="single" w:color="C7D2E0" w:sz="6" w:space="8"/>
        </w:pBdr>
        <w:spacing w:after="60" w:before="300"/>
      </w:pPr>
    </w:p>
    <w:p>
      <w:pPr>
        <w:spacing w:after="120"/>
      </w:pPr>
      <w:r>
        <w:rPr>
          <w:b/>
          <w:bCs/>
          <w:color w:val="1F5FA8"/>
        </w:rPr>
        <w:t xml:space="preserve">Outcome: </w:t>
      </w:r>
      <w:r>
        <w:t xml:space="preserve">two tenants migrated Postgres → Postgres with full data fidelity, in-flight continuity, and a clean rollback path — using one reusable, config-driven tool.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F5FA8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rFonts w:ascii="Calibri" w:cs="Calibri" w:eastAsia="Calibri" w:hAnsi="Calibri"/>
      <w:b/>
      <w:bCs/>
      <w:color w:val="1F5FA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2026-07-21T05:52:21.358Z</dcterms:created>
  <dcterms:modified xsi:type="dcterms:W3CDTF">2026-07-21T05:52:21.362Z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