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1FD514">
      <w:pPr>
        <w:rPr>
          <w:rFonts w:ascii="Times New Roman" w:hAnsi="Times New Roman" w:cs="Times New Roman"/>
          <w:b/>
          <w:sz w:val="20"/>
          <w:szCs w:val="20"/>
          <w:highlight w:val="none"/>
        </w:rPr>
      </w:pPr>
      <w:r>
        <w:rPr>
          <w:rFonts w:ascii="Times New Roman" w:hAnsi="Times New Roman" w:cs="Times New Roman"/>
          <w:b/>
          <w:sz w:val="20"/>
          <w:szCs w:val="20"/>
          <w:highlight w:val="none"/>
        </w:rPr>
        <w:t>Materials and methods</w:t>
      </w:r>
      <w:bookmarkStart w:id="2" w:name="_GoBack"/>
      <w:bookmarkEnd w:id="2"/>
    </w:p>
    <w:p w14:paraId="672912C0">
      <w:pPr>
        <w:rPr>
          <w:rFonts w:ascii="Times New Roman" w:hAnsi="Times New Roman" w:eastAsia="宋体" w:cs="Times New Roman"/>
          <w:b/>
          <w:bCs/>
          <w:highlight w:val="none"/>
        </w:rPr>
      </w:pPr>
      <w:r>
        <w:rPr>
          <w:rFonts w:hint="eastAsia" w:ascii="Times New Roman" w:hAnsi="Times New Roman" w:eastAsia="宋体" w:cs="Times New Roman"/>
          <w:b/>
          <w:bCs/>
          <w:highlight w:val="none"/>
        </w:rPr>
        <w:t>S</w:t>
      </w:r>
      <w:r>
        <w:rPr>
          <w:rFonts w:ascii="Times New Roman" w:hAnsi="Times New Roman" w:eastAsia="宋体" w:cs="Times New Roman"/>
          <w:b/>
          <w:bCs/>
          <w:highlight w:val="none"/>
        </w:rPr>
        <w:t>ample preparation</w:t>
      </w:r>
    </w:p>
    <w:p w14:paraId="2DC14FF4">
      <w:pPr>
        <w:rPr>
          <w:rFonts w:ascii="Times New Roman" w:hAnsi="Times New Roman" w:eastAsia="宋体" w:cs="Times New Roman"/>
          <w:highlight w:val="none"/>
        </w:rPr>
      </w:pPr>
      <w:r>
        <w:rPr>
          <w:rFonts w:ascii="Times New Roman" w:hAnsi="Times New Roman" w:eastAsia="宋体" w:cs="Times New Roman"/>
          <w:highlight w:val="none"/>
        </w:rPr>
        <w:t>Peripheral blood was obtained from the patient and relevant family members. Urine and oral mucosal cells were also collected from the proband and her mother. Genomic</w:t>
      </w:r>
      <w:r>
        <w:rPr>
          <w:rFonts w:hint="eastAsia" w:ascii="Times New Roman" w:hAnsi="Times New Roman" w:eastAsia="宋体" w:cs="Times New Roman"/>
          <w:highlight w:val="none"/>
        </w:rPr>
        <w:t xml:space="preserve"> </w:t>
      </w:r>
      <w:r>
        <w:rPr>
          <w:rFonts w:ascii="Times New Roman" w:hAnsi="Times New Roman" w:eastAsia="宋体" w:cs="Times New Roman"/>
          <w:highlight w:val="none"/>
        </w:rPr>
        <w:t>DNA was extracted from these samples</w:t>
      </w:r>
      <w:r>
        <w:rPr>
          <w:rFonts w:hint="eastAsia" w:ascii="Times New Roman" w:hAnsi="Times New Roman" w:eastAsia="宋体" w:cs="Times New Roman"/>
          <w:highlight w:val="none"/>
        </w:rPr>
        <w:t xml:space="preserve"> </w:t>
      </w:r>
      <w:r>
        <w:rPr>
          <w:rFonts w:ascii="Times New Roman" w:hAnsi="Times New Roman" w:eastAsia="宋体" w:cs="Times New Roman"/>
          <w:highlight w:val="none"/>
        </w:rPr>
        <w:t>using the QIAamp DNA Blood Mini Kit</w:t>
      </w:r>
      <w:r>
        <w:rPr>
          <w:rFonts w:hint="eastAsia" w:ascii="Times New Roman" w:hAnsi="Times New Roman" w:eastAsia="宋体" w:cs="Times New Roman"/>
          <w:highlight w:val="none"/>
        </w:rPr>
        <w:t xml:space="preserve"> as</w:t>
      </w:r>
      <w:r>
        <w:rPr>
          <w:rFonts w:ascii="Times New Roman" w:hAnsi="Times New Roman" w:eastAsia="宋体" w:cs="Times New Roman"/>
          <w:highlight w:val="none"/>
        </w:rPr>
        <w:t xml:space="preserve"> the manufacturer’s instructions (QIAGEN, Hilden, Germany).</w:t>
      </w:r>
      <w:r>
        <w:rPr>
          <w:rFonts w:hint="eastAsia" w:ascii="Times New Roman" w:hAnsi="Times New Roman" w:eastAsia="宋体" w:cs="Times New Roman"/>
          <w:highlight w:val="none"/>
        </w:rPr>
        <w:t xml:space="preserve"> L</w:t>
      </w:r>
      <w:r>
        <w:rPr>
          <w:rFonts w:ascii="Times New Roman" w:hAnsi="Times New Roman" w:eastAsia="宋体" w:cs="Times New Roman"/>
          <w:highlight w:val="none"/>
        </w:rPr>
        <w:t>ymphocytes were isolated from peripheral blood of the proband and her mother by density gradient centrifugation. Three</w:t>
      </w:r>
      <w:r>
        <w:rPr>
          <w:rFonts w:hint="eastAsia" w:ascii="Times New Roman" w:hAnsi="Times New Roman" w:eastAsia="宋体" w:cs="Times New Roman"/>
          <w:highlight w:val="none"/>
          <w:lang w:val="en-US" w:eastAsia="zh-CN"/>
        </w:rPr>
        <w:t xml:space="preserve"> </w:t>
      </w:r>
      <w:r>
        <w:rPr>
          <w:rFonts w:hint="eastAsia" w:ascii="Times New Roman" w:hAnsi="Times New Roman" w:eastAsia="宋体" w:cs="Times New Roman"/>
          <w:highlight w:val="none"/>
          <w:lang w:val="en-US" w:eastAsia="zh-CN"/>
        </w:rPr>
        <w:t>to</w:t>
      </w:r>
      <w:r>
        <w:rPr>
          <w:rFonts w:hint="eastAsia" w:ascii="Times New Roman" w:hAnsi="Times New Roman" w:eastAsia="宋体" w:cs="Times New Roman"/>
          <w:highlight w:val="none"/>
          <w:lang w:val="en-US" w:eastAsia="zh-CN"/>
        </w:rPr>
        <w:t xml:space="preserve"> </w:t>
      </w:r>
      <w:r>
        <w:rPr>
          <w:rFonts w:ascii="Times New Roman" w:hAnsi="Times New Roman" w:eastAsia="宋体" w:cs="Times New Roman"/>
          <w:highlight w:val="none"/>
        </w:rPr>
        <w:t>five lymphocytes were selected using a mouth pipette under an inverted optical microscope (SMZ1270</w:t>
      </w:r>
      <w:r>
        <w:rPr>
          <w:rFonts w:hint="eastAsia" w:ascii="Times New Roman" w:hAnsi="Times New Roman" w:eastAsia="宋体" w:cs="Times New Roman"/>
          <w:highlight w:val="none"/>
        </w:rPr>
        <w:t xml:space="preserve">, </w:t>
      </w:r>
      <w:r>
        <w:rPr>
          <w:rFonts w:ascii="Times New Roman" w:hAnsi="Times New Roman" w:eastAsia="宋体" w:cs="Times New Roman"/>
          <w:highlight w:val="none"/>
        </w:rPr>
        <w:t>Nikon, Tokyo, Japan), transferred into a 0.2 ml tube containing 1 μl PBS, and subsequently stored at -80°C.</w:t>
      </w:r>
    </w:p>
    <w:p w14:paraId="6C25154F">
      <w:pPr>
        <w:rPr>
          <w:rFonts w:ascii="Times New Roman" w:hAnsi="Times New Roman" w:cs="Times New Roman"/>
          <w:b/>
          <w:sz w:val="20"/>
          <w:szCs w:val="20"/>
          <w:highlight w:val="none"/>
        </w:rPr>
      </w:pPr>
      <w:r>
        <w:rPr>
          <w:rFonts w:ascii="Times New Roman" w:hAnsi="Times New Roman" w:cs="Times New Roman"/>
          <w:b/>
          <w:sz w:val="20"/>
          <w:szCs w:val="20"/>
          <w:highlight w:val="none"/>
        </w:rPr>
        <w:t>Genetic testing of the proband and family members</w:t>
      </w:r>
    </w:p>
    <w:p w14:paraId="680E694E">
      <w:pPr>
        <w:rPr>
          <w:rFonts w:hint="eastAsia" w:ascii="Times New Roman" w:hAnsi="Times New Roman" w:eastAsia="宋体" w:cs="Times New Roman"/>
          <w:highlight w:val="none"/>
        </w:rPr>
      </w:pPr>
      <w:r>
        <w:rPr>
          <w:rFonts w:ascii="Times New Roman" w:hAnsi="Times New Roman" w:eastAsia="宋体" w:cs="Times New Roman"/>
          <w:highlight w:val="none"/>
        </w:rPr>
        <w:t>About 1 µg of genomic DNA from the patient and</w:t>
      </w:r>
      <w:r>
        <w:rPr>
          <w:rFonts w:hint="eastAsia" w:ascii="Times New Roman" w:hAnsi="Times New Roman" w:eastAsia="宋体" w:cs="Times New Roman"/>
          <w:highlight w:val="none"/>
        </w:rPr>
        <w:t xml:space="preserve"> her parents</w:t>
      </w:r>
      <w:r>
        <w:rPr>
          <w:rFonts w:ascii="Times New Roman" w:hAnsi="Times New Roman" w:eastAsia="宋体" w:cs="Times New Roman"/>
          <w:highlight w:val="none"/>
        </w:rPr>
        <w:t xml:space="preserve"> w</w:t>
      </w:r>
      <w:r>
        <w:rPr>
          <w:rFonts w:hint="eastAsia" w:ascii="Times New Roman" w:hAnsi="Times New Roman" w:eastAsia="宋体" w:cs="Times New Roman"/>
          <w:highlight w:val="none"/>
        </w:rPr>
        <w:t>ere</w:t>
      </w:r>
      <w:r>
        <w:rPr>
          <w:rFonts w:ascii="Times New Roman" w:hAnsi="Times New Roman" w:eastAsia="宋体" w:cs="Times New Roman"/>
          <w:highlight w:val="none"/>
        </w:rPr>
        <w:t xml:space="preserve"> sent to </w:t>
      </w:r>
      <w:r>
        <w:rPr>
          <w:rFonts w:hint="eastAsia" w:ascii="Times New Roman" w:hAnsi="Times New Roman" w:eastAsia="宋体" w:cs="Times New Roman"/>
          <w:highlight w:val="none"/>
          <w:lang w:val="en-US" w:eastAsia="zh-CN"/>
        </w:rPr>
        <w:t>a</w:t>
      </w:r>
      <w:r>
        <w:rPr>
          <w:rFonts w:hint="eastAsia" w:ascii="Times New Roman" w:hAnsi="Times New Roman" w:eastAsia="宋体" w:cs="Times New Roman"/>
          <w:highlight w:val="none"/>
          <w:lang w:val="en-US" w:eastAsia="zh-CN"/>
        </w:rPr>
        <w:t xml:space="preserve"> </w:t>
      </w:r>
      <w:r>
        <w:rPr>
          <w:rFonts w:ascii="Times New Roman" w:hAnsi="Times New Roman" w:eastAsia="宋体" w:cs="Times New Roman"/>
          <w:highlight w:val="none"/>
        </w:rPr>
        <w:t xml:space="preserve">company (Jiajian Medical Testing, Guangzhou, China) for </w:t>
      </w:r>
      <w:r>
        <w:rPr>
          <w:rFonts w:hint="eastAsia" w:ascii="Times New Roman" w:hAnsi="Times New Roman" w:eastAsia="宋体" w:cs="Times New Roman"/>
          <w:highlight w:val="none"/>
        </w:rPr>
        <w:t xml:space="preserve">trio </w:t>
      </w:r>
      <w:r>
        <w:rPr>
          <w:rFonts w:ascii="Times New Roman" w:hAnsi="Times New Roman" w:eastAsia="宋体" w:cs="Times New Roman"/>
          <w:highlight w:val="none"/>
        </w:rPr>
        <w:t>whole-exome sequencing</w:t>
      </w:r>
      <w:r>
        <w:rPr>
          <w:rFonts w:hint="eastAsia" w:ascii="Times New Roman" w:hAnsi="Times New Roman" w:eastAsia="宋体" w:cs="Times New Roman"/>
          <w:highlight w:val="none"/>
        </w:rPr>
        <w:t xml:space="preserve"> and m</w:t>
      </w:r>
      <w:r>
        <w:rPr>
          <w:rFonts w:ascii="Times New Roman" w:hAnsi="Times New Roman" w:eastAsia="宋体" w:cs="Times New Roman"/>
          <w:highlight w:val="none"/>
        </w:rPr>
        <w:t xml:space="preserve">itochondrial </w:t>
      </w:r>
      <w:r>
        <w:rPr>
          <w:rFonts w:hint="eastAsia" w:ascii="Times New Roman" w:hAnsi="Times New Roman" w:eastAsia="宋体" w:cs="Times New Roman"/>
          <w:highlight w:val="none"/>
        </w:rPr>
        <w:t>DNA (mtDNA)</w:t>
      </w:r>
      <w:r>
        <w:rPr>
          <w:rFonts w:ascii="Times New Roman" w:hAnsi="Times New Roman" w:eastAsia="宋体" w:cs="Times New Roman"/>
          <w:highlight w:val="none"/>
        </w:rPr>
        <w:t xml:space="preserve"> detectio</w:t>
      </w:r>
      <w:r>
        <w:rPr>
          <w:rFonts w:hint="eastAsia" w:ascii="Times New Roman" w:hAnsi="Times New Roman" w:eastAsia="宋体" w:cs="Times New Roman"/>
          <w:highlight w:val="none"/>
          <w:lang w:val="en-US" w:eastAsia="zh-CN"/>
        </w:rPr>
        <w:t>n</w:t>
      </w:r>
      <w:r>
        <w:rPr>
          <w:rFonts w:ascii="Times New Roman" w:hAnsi="Times New Roman" w:eastAsia="宋体" w:cs="Times New Roman"/>
          <w:highlight w:val="none"/>
        </w:rPr>
        <w:t>.</w:t>
      </w:r>
    </w:p>
    <w:p w14:paraId="17866B72">
      <w:pPr>
        <w:ind w:firstLine="420" w:firstLineChars="200"/>
        <w:rPr>
          <w:rFonts w:ascii="Times New Roman" w:hAnsi="Times New Roman" w:eastAsia="宋体" w:cs="Times New Roman"/>
          <w:highlight w:val="none"/>
        </w:rPr>
      </w:pPr>
      <w:r>
        <w:rPr>
          <w:rFonts w:ascii="Times New Roman" w:hAnsi="Times New Roman" w:eastAsia="宋体" w:cs="Times New Roman"/>
          <w:i/>
          <w:iCs/>
          <w:highlight w:val="none"/>
        </w:rPr>
        <w:t>Nuclear gene mutation</w:t>
      </w:r>
      <w:r>
        <w:rPr>
          <w:rFonts w:hint="eastAsia" w:ascii="Times New Roman" w:hAnsi="Times New Roman" w:eastAsia="宋体" w:cs="Times New Roman"/>
          <w:i/>
          <w:iCs/>
          <w:highlight w:val="none"/>
        </w:rPr>
        <w:t>s</w:t>
      </w:r>
      <w:r>
        <w:rPr>
          <w:rFonts w:ascii="Times New Roman" w:hAnsi="Times New Roman" w:eastAsia="宋体" w:cs="Times New Roman"/>
          <w:i/>
          <w:iCs/>
          <w:highlight w:val="none"/>
        </w:rPr>
        <w:t xml:space="preserve"> targeted testing.</w:t>
      </w:r>
      <w:r>
        <w:rPr>
          <w:rFonts w:ascii="Times New Roman" w:hAnsi="Times New Roman" w:eastAsia="宋体" w:cs="Times New Roman"/>
          <w:highlight w:val="none"/>
        </w:rPr>
        <w:t xml:space="preserve"> PCR was performed for the proband and her family members using flanking primers of specific mutation loci (</w:t>
      </w:r>
      <w:r>
        <w:rPr>
          <w:rFonts w:ascii="Times New Roman" w:hAnsi="Times New Roman" w:eastAsia="宋体" w:cs="Times New Roman"/>
          <w:i/>
          <w:iCs/>
          <w:highlight w:val="none"/>
        </w:rPr>
        <w:t>RNASEH2C</w:t>
      </w:r>
      <w:r>
        <w:rPr>
          <w:rFonts w:ascii="Times New Roman" w:hAnsi="Times New Roman" w:eastAsia="宋体" w:cs="Times New Roman"/>
          <w:highlight w:val="none"/>
        </w:rPr>
        <w:t xml:space="preserve"> c.194: 5’-CTTCTTCACGCCCGCCATC-3’ and 5’-CAGCATCGGGACTACAGCTC-3’; </w:t>
      </w:r>
      <w:r>
        <w:rPr>
          <w:rFonts w:ascii="Times New Roman" w:hAnsi="Times New Roman" w:eastAsia="宋体" w:cs="Times New Roman"/>
          <w:i/>
          <w:iCs/>
          <w:highlight w:val="none"/>
        </w:rPr>
        <w:t>RNASEH2C</w:t>
      </w:r>
      <w:r>
        <w:rPr>
          <w:rFonts w:ascii="Times New Roman" w:hAnsi="Times New Roman" w:eastAsia="宋体" w:cs="Times New Roman"/>
          <w:highlight w:val="none"/>
        </w:rPr>
        <w:t xml:space="preserve"> c.433: 5’-CTCGTGGGATACGTGATGGTG-3’ and 5’-AAGAGTGGTCAGGGAGCTACG-3’). PCR amplification was performed using GoTaq Master Mix 2× kit (Promega, Madison, WI, USA) as follows: 95℃ for 5 min, 35 cycles of 95℃ for 40 s, 58℃ for 40 s, and 72℃ for 40 s, followed by a final extension at 72°C for 10 min. </w:t>
      </w:r>
      <w:bookmarkStart w:id="0" w:name="OLE_LINK5"/>
      <w:r>
        <w:rPr>
          <w:rFonts w:ascii="Times New Roman" w:hAnsi="Times New Roman" w:eastAsia="宋体" w:cs="Times New Roman"/>
          <w:highlight w:val="none"/>
        </w:rPr>
        <w:t>Sanger sequencing</w:t>
      </w:r>
      <w:bookmarkEnd w:id="0"/>
      <w:r>
        <w:rPr>
          <w:rFonts w:ascii="Times New Roman" w:hAnsi="Times New Roman" w:eastAsia="宋体" w:cs="Times New Roman"/>
          <w:highlight w:val="none"/>
        </w:rPr>
        <w:t xml:space="preserve"> was performed using an ABI 3730-automated sequencer (Applied Biosystems, ThermoFisher, USA). The reference genome was human GRCh37/hg19.</w:t>
      </w:r>
    </w:p>
    <w:p w14:paraId="1AD4A0C6">
      <w:pPr>
        <w:ind w:firstLine="420" w:firstLineChars="200"/>
        <w:rPr>
          <w:rFonts w:ascii="Times New Roman" w:hAnsi="Times New Roman" w:eastAsia="宋体" w:cs="Times New Roman"/>
          <w:szCs w:val="21"/>
          <w:highlight w:val="none"/>
        </w:rPr>
      </w:pPr>
      <w:r>
        <w:rPr>
          <w:rFonts w:hint="eastAsia" w:ascii="Times New Roman" w:hAnsi="Times New Roman" w:eastAsia="宋体" w:cs="Times New Roman"/>
          <w:i/>
          <w:iCs/>
          <w:highlight w:val="none"/>
        </w:rPr>
        <w:t>mtDNA</w:t>
      </w:r>
      <w:r>
        <w:rPr>
          <w:rFonts w:ascii="Times New Roman" w:hAnsi="Times New Roman" w:eastAsia="宋体" w:cs="Times New Roman"/>
          <w:i/>
          <w:iCs/>
          <w:highlight w:val="none"/>
        </w:rPr>
        <w:t xml:space="preserve"> mutation</w:t>
      </w:r>
      <w:r>
        <w:rPr>
          <w:rFonts w:hint="eastAsia" w:ascii="Times New Roman" w:hAnsi="Times New Roman" w:eastAsia="宋体" w:cs="Times New Roman"/>
          <w:i/>
          <w:iCs/>
          <w:highlight w:val="none"/>
        </w:rPr>
        <w:t xml:space="preserve"> </w:t>
      </w:r>
      <w:r>
        <w:rPr>
          <w:rFonts w:ascii="Times New Roman" w:hAnsi="Times New Roman" w:eastAsia="宋体" w:cs="Times New Roman"/>
          <w:i/>
          <w:iCs/>
          <w:highlight w:val="none"/>
        </w:rPr>
        <w:t>targeted testing.</w:t>
      </w:r>
      <w:r>
        <w:rPr>
          <w:rFonts w:ascii="Times New Roman" w:hAnsi="Times New Roman" w:eastAsia="宋体" w:cs="Times New Roman"/>
          <w:highlight w:val="none"/>
        </w:rPr>
        <w:t xml:space="preserve"> Speciﬁc primers (5’-CGCCTTCCCCCGTAAATGAT-3’ and 5’-GTTGGGGCCTTTGCGTAGTT-3’) were designed to amplify the </w:t>
      </w:r>
      <w:r>
        <w:rPr>
          <w:rFonts w:ascii="Times New Roman" w:hAnsi="Times New Roman" w:eastAsia="宋体" w:cs="Times New Roman"/>
          <w:i/>
          <w:iCs/>
          <w:highlight w:val="none"/>
        </w:rPr>
        <w:t>MT-TL1</w:t>
      </w:r>
      <w:r>
        <w:rPr>
          <w:rFonts w:ascii="Times New Roman" w:hAnsi="Times New Roman" w:eastAsia="宋体" w:cs="Times New Roman"/>
          <w:highlight w:val="none"/>
        </w:rPr>
        <w:t xml:space="preserve"> m.3250 position of the proband and her maternal family members. The amplification system and conditions were identical to those used for nuclear genes. One portion of the m.3250 PCR product was used for Sanger sequencing. The other was subjected to next-generation sequencing (NGS) for mutation load q</w:t>
      </w:r>
      <w:r>
        <w:rPr>
          <w:rFonts w:ascii="Times New Roman" w:hAnsi="Times New Roman" w:eastAsia="宋体" w:cs="Times New Roman"/>
          <w:szCs w:val="21"/>
          <w:highlight w:val="none"/>
        </w:rPr>
        <w:t xml:space="preserve">uantification. Briefly, the PCR products were subjected to library construction following the standard protocol, including end repair, adapter ligation, and amplification [1]. The constructed libraries were then sequenced using an Illumina NextSeq 500 sequencer (Illumina, San Diego, CA, USA). The sequencing data were filtered and aligned to the reference mitochondrial genome </w:t>
      </w:r>
      <w:r>
        <w:rPr>
          <w:rFonts w:ascii="Times New Roman" w:hAnsi="Times New Roman" w:cs="Times New Roman"/>
          <w:bCs/>
          <w:color w:val="000000"/>
          <w:szCs w:val="21"/>
          <w:highlight w:val="none"/>
        </w:rPr>
        <w:t>(NC_012920.1)</w:t>
      </w:r>
      <w:r>
        <w:rPr>
          <w:rFonts w:ascii="Times New Roman" w:hAnsi="Times New Roman" w:eastAsia="宋体" w:cs="Times New Roman"/>
          <w:szCs w:val="21"/>
          <w:highlight w:val="none"/>
        </w:rPr>
        <w:t>, and the m.3250T&gt;C</w:t>
      </w:r>
      <w:r>
        <w:rPr>
          <w:rFonts w:hint="eastAsia" w:ascii="Times New Roman" w:hAnsi="Times New Roman" w:eastAsia="宋体" w:cs="Times New Roman"/>
          <w:szCs w:val="21"/>
          <w:highlight w:val="none"/>
        </w:rPr>
        <w:t xml:space="preserve"> </w:t>
      </w:r>
      <w:r>
        <w:rPr>
          <w:rFonts w:ascii="Times New Roman" w:hAnsi="Times New Roman" w:eastAsia="宋体" w:cs="Times New Roman"/>
          <w:szCs w:val="21"/>
          <w:highlight w:val="none"/>
        </w:rPr>
        <w:t>mutation load</w:t>
      </w:r>
      <w:r>
        <w:rPr>
          <w:rFonts w:hint="eastAsia" w:ascii="Times New Roman" w:hAnsi="Times New Roman" w:eastAsia="宋体" w:cs="Times New Roman"/>
          <w:szCs w:val="21"/>
          <w:highlight w:val="none"/>
        </w:rPr>
        <w:t xml:space="preserve"> </w:t>
      </w:r>
      <w:r>
        <w:rPr>
          <w:rFonts w:ascii="Times New Roman" w:hAnsi="Times New Roman" w:eastAsia="宋体" w:cs="Times New Roman"/>
          <w:szCs w:val="21"/>
          <w:highlight w:val="none"/>
        </w:rPr>
        <w:t xml:space="preserve">was calculated based on the read counts of mutant and wild-type alleles. The sequencing depth is at least 10 000×, and a mutation level above 1.0% was considered reliable. </w:t>
      </w:r>
    </w:p>
    <w:p w14:paraId="6A2893C9">
      <w:pPr>
        <w:ind w:firstLine="400" w:firstLineChars="200"/>
        <w:rPr>
          <w:rFonts w:ascii="Times New Roman" w:hAnsi="Times New Roman" w:eastAsia="宋体" w:cs="Times New Roman"/>
          <w:highlight w:val="none"/>
        </w:rPr>
      </w:pPr>
      <w:r>
        <w:rPr>
          <w:rFonts w:hint="eastAsia" w:ascii="Times New Roman" w:hAnsi="Times New Roman" w:cs="Times New Roman"/>
          <w:sz w:val="20"/>
          <w:szCs w:val="20"/>
          <w:highlight w:val="none"/>
        </w:rPr>
        <w:t xml:space="preserve">Variant pathogenicity was interpreted according to the </w:t>
      </w:r>
      <w:r>
        <w:rPr>
          <w:rFonts w:ascii="Times New Roman" w:hAnsi="Times New Roman" w:cs="Times New Roman"/>
          <w:sz w:val="20"/>
          <w:szCs w:val="20"/>
          <w:highlight w:val="none"/>
        </w:rPr>
        <w:t xml:space="preserve">American College of Medical Genetics </w:t>
      </w:r>
      <w:r>
        <w:rPr>
          <w:rFonts w:hint="eastAsia" w:ascii="Times New Roman" w:hAnsi="Times New Roman" w:cs="Times New Roman"/>
          <w:sz w:val="20"/>
          <w:szCs w:val="20"/>
          <w:highlight w:val="none"/>
        </w:rPr>
        <w:t xml:space="preserve">(ACMG) guidelines </w:t>
      </w:r>
      <w:r>
        <w:rPr>
          <w:rFonts w:hint="eastAsia" w:ascii="Times New Roman" w:hAnsi="Times New Roman" w:eastAsia="宋体" w:cs="Times New Roman"/>
          <w:highlight w:val="none"/>
        </w:rPr>
        <w:t>[2]</w:t>
      </w:r>
      <w:r>
        <w:rPr>
          <w:rFonts w:hint="eastAsia" w:ascii="Times New Roman" w:hAnsi="Times New Roman" w:cs="Times New Roman"/>
          <w:sz w:val="20"/>
          <w:szCs w:val="20"/>
          <w:highlight w:val="none"/>
        </w:rPr>
        <w:t xml:space="preserve">. </w:t>
      </w:r>
    </w:p>
    <w:p w14:paraId="31BA6747">
      <w:pPr>
        <w:rPr>
          <w:rFonts w:ascii="Times New Roman" w:hAnsi="Times New Roman" w:eastAsia="宋体" w:cs="Times New Roman"/>
          <w:highlight w:val="none"/>
        </w:rPr>
      </w:pPr>
      <w:r>
        <w:rPr>
          <w:rFonts w:ascii="Times New Roman" w:hAnsi="Times New Roman" w:cs="Times New Roman"/>
          <w:b/>
          <w:sz w:val="20"/>
          <w:szCs w:val="20"/>
          <w:highlight w:val="none"/>
        </w:rPr>
        <w:t>Pre-examination process of</w:t>
      </w:r>
      <w:r>
        <w:rPr>
          <w:rFonts w:hint="eastAsia" w:ascii="Times New Roman" w:hAnsi="Times New Roman" w:cs="Times New Roman"/>
          <w:b/>
          <w:sz w:val="20"/>
          <w:szCs w:val="20"/>
          <w:highlight w:val="none"/>
        </w:rPr>
        <w:t xml:space="preserve"> PGT</w:t>
      </w:r>
    </w:p>
    <w:p w14:paraId="5718DFCA">
      <w:pPr>
        <w:rPr>
          <w:rFonts w:ascii="Times New Roman" w:hAnsi="Times New Roman" w:cs="Times New Roman"/>
          <w:bCs/>
          <w:sz w:val="20"/>
          <w:szCs w:val="20"/>
          <w:highlight w:val="none"/>
        </w:rPr>
      </w:pPr>
      <w:r>
        <w:rPr>
          <w:rFonts w:ascii="Times New Roman" w:hAnsi="Times New Roman" w:eastAsia="宋体" w:cs="Times New Roman"/>
          <w:highlight w:val="none"/>
        </w:rPr>
        <w:t xml:space="preserve">Nuclear gene haplotypes were constructed </w:t>
      </w:r>
      <w:r>
        <w:rPr>
          <w:rFonts w:hint="eastAsia" w:ascii="Times New Roman" w:hAnsi="Times New Roman" w:eastAsia="宋体" w:cs="Times New Roman"/>
          <w:highlight w:val="none"/>
        </w:rPr>
        <w:t>using</w:t>
      </w:r>
      <w:r>
        <w:rPr>
          <w:rFonts w:ascii="Times New Roman" w:hAnsi="Times New Roman" w:eastAsia="宋体" w:cs="Times New Roman"/>
          <w:highlight w:val="none"/>
        </w:rPr>
        <w:t xml:space="preserve"> the genomic DNA </w:t>
      </w:r>
      <w:r>
        <w:rPr>
          <w:rFonts w:hint="eastAsia" w:ascii="Times New Roman" w:hAnsi="Times New Roman" w:eastAsia="宋体" w:cs="Times New Roman"/>
          <w:highlight w:val="none"/>
        </w:rPr>
        <w:t>from</w:t>
      </w:r>
      <w:r>
        <w:rPr>
          <w:rFonts w:ascii="Times New Roman" w:hAnsi="Times New Roman" w:eastAsia="宋体" w:cs="Times New Roman"/>
          <w:highlight w:val="none"/>
        </w:rPr>
        <w:t xml:space="preserve"> family members. A multiplex PCR capture panel was designed targeting the</w:t>
      </w:r>
      <w:r>
        <w:rPr>
          <w:rFonts w:hint="eastAsia" w:ascii="Times New Roman" w:hAnsi="Times New Roman" w:eastAsia="宋体" w:cs="Times New Roman"/>
          <w:highlight w:val="none"/>
        </w:rPr>
        <w:t xml:space="preserve"> </w:t>
      </w:r>
      <w:r>
        <w:rPr>
          <w:rFonts w:ascii="Times New Roman" w:hAnsi="Times New Roman" w:eastAsia="宋体" w:cs="Times New Roman"/>
          <w:i/>
          <w:iCs/>
          <w:highlight w:val="none"/>
        </w:rPr>
        <w:t>RNASEH2</w:t>
      </w:r>
      <w:r>
        <w:rPr>
          <w:rFonts w:hint="eastAsia" w:ascii="Times New Roman" w:hAnsi="Times New Roman" w:eastAsia="宋体" w:cs="Times New Roman"/>
          <w:i/>
          <w:iCs/>
          <w:highlight w:val="none"/>
        </w:rPr>
        <w:t>C</w:t>
      </w:r>
      <w:r>
        <w:rPr>
          <w:rFonts w:ascii="Times New Roman" w:hAnsi="Times New Roman" w:eastAsia="宋体" w:cs="Times New Roman"/>
          <w:highlight w:val="none"/>
        </w:rPr>
        <w:t xml:space="preserve"> gene and its linked single nucleotide polymorphism (SNP) loci. The panel covered 100 SNPs within 2 Mb upstream of the </w:t>
      </w:r>
      <w:r>
        <w:rPr>
          <w:rFonts w:ascii="Times New Roman" w:hAnsi="Times New Roman" w:eastAsia="宋体" w:cs="Times New Roman"/>
          <w:i/>
          <w:iCs/>
          <w:highlight w:val="none"/>
        </w:rPr>
        <w:t xml:space="preserve">RNASEH2C </w:t>
      </w:r>
      <w:r>
        <w:rPr>
          <w:rFonts w:ascii="Times New Roman" w:hAnsi="Times New Roman" w:eastAsia="宋体" w:cs="Times New Roman"/>
          <w:highlight w:val="none"/>
        </w:rPr>
        <w:t>gene, 173 SNPs within 2 Mb downstream, as well as the entire coding region of the gene. Primer design and SNP haplotype construction were performed</w:t>
      </w:r>
      <w:r>
        <w:rPr>
          <w:rFonts w:hint="eastAsia" w:ascii="Times New Roman" w:hAnsi="Times New Roman" w:eastAsia="宋体" w:cs="Times New Roman"/>
          <w:highlight w:val="none"/>
        </w:rPr>
        <w:t xml:space="preserve"> </w:t>
      </w:r>
      <w:r>
        <w:rPr>
          <w:rFonts w:hint="eastAsia" w:ascii="Times New Roman" w:hAnsi="Times New Roman" w:cs="Times New Roman"/>
          <w:bCs/>
          <w:sz w:val="20"/>
          <w:szCs w:val="20"/>
          <w:highlight w:val="none"/>
        </w:rPr>
        <w:t xml:space="preserve">by Peking Jabrehoo Med Tech., Ltd. </w:t>
      </w:r>
      <w:r>
        <w:rPr>
          <w:rFonts w:ascii="Times New Roman" w:hAnsi="Times New Roman" w:eastAsia="宋体" w:cs="Times New Roman"/>
          <w:highlight w:val="none"/>
        </w:rPr>
        <w:t>as previously described [</w:t>
      </w:r>
      <w:r>
        <w:rPr>
          <w:rFonts w:hint="eastAsia" w:ascii="Times New Roman" w:hAnsi="Times New Roman" w:eastAsia="宋体" w:cs="Times New Roman"/>
          <w:highlight w:val="none"/>
        </w:rPr>
        <w:t>3</w:t>
      </w:r>
      <w:r>
        <w:rPr>
          <w:rFonts w:ascii="Times New Roman" w:hAnsi="Times New Roman" w:eastAsia="宋体" w:cs="Times New Roman"/>
          <w:highlight w:val="none"/>
        </w:rPr>
        <w:t xml:space="preserve">]. </w:t>
      </w:r>
    </w:p>
    <w:p w14:paraId="704E2FC8">
      <w:pPr>
        <w:ind w:firstLine="420" w:firstLineChars="200"/>
        <w:rPr>
          <w:rFonts w:ascii="Times New Roman" w:hAnsi="Times New Roman" w:eastAsia="宋体" w:cs="Times New Roman"/>
          <w:highlight w:val="none"/>
        </w:rPr>
      </w:pPr>
      <w:r>
        <w:rPr>
          <w:rFonts w:ascii="Times New Roman" w:hAnsi="Times New Roman" w:eastAsia="宋体" w:cs="Times New Roman"/>
          <w:highlight w:val="none"/>
        </w:rPr>
        <w:t xml:space="preserve">To evaluate the </w:t>
      </w:r>
      <w:r>
        <w:rPr>
          <w:rFonts w:hint="eastAsia" w:ascii="Times New Roman" w:hAnsi="Times New Roman" w:eastAsia="宋体" w:cs="Times New Roman"/>
          <w:highlight w:val="none"/>
        </w:rPr>
        <w:t>effect</w:t>
      </w:r>
      <w:r>
        <w:rPr>
          <w:rFonts w:ascii="Times New Roman" w:hAnsi="Times New Roman" w:eastAsia="宋体" w:cs="Times New Roman"/>
          <w:highlight w:val="none"/>
        </w:rPr>
        <w:t xml:space="preserve"> of multiple displacement ampliﬁcation</w:t>
      </w:r>
      <w:r>
        <w:rPr>
          <w:rFonts w:hint="eastAsia" w:ascii="Times New Roman" w:hAnsi="Times New Roman" w:eastAsia="宋体" w:cs="Times New Roman"/>
          <w:highlight w:val="none"/>
        </w:rPr>
        <w:t xml:space="preserve"> </w:t>
      </w:r>
      <w:r>
        <w:rPr>
          <w:rFonts w:ascii="Times New Roman" w:hAnsi="Times New Roman" w:eastAsia="宋体" w:cs="Times New Roman"/>
          <w:highlight w:val="none"/>
        </w:rPr>
        <w:t xml:space="preserve">(MDA)-based whole-genome </w:t>
      </w:r>
      <w:r>
        <w:rPr>
          <w:rFonts w:hint="eastAsia" w:ascii="Times New Roman" w:hAnsi="Times New Roman" w:eastAsia="宋体" w:cs="Times New Roman"/>
          <w:highlight w:val="none"/>
        </w:rPr>
        <w:t>amplification (WGA)</w:t>
      </w:r>
      <w:r>
        <w:rPr>
          <w:rFonts w:ascii="Times New Roman" w:hAnsi="Times New Roman" w:eastAsia="宋体" w:cs="Times New Roman"/>
          <w:highlight w:val="none"/>
        </w:rPr>
        <w:t xml:space="preserve"> on mitochondrial mutation levels in </w:t>
      </w:r>
      <w:r>
        <w:rPr>
          <w:rFonts w:hint="eastAsia" w:ascii="Times New Roman" w:hAnsi="Times New Roman" w:eastAsia="宋体" w:cs="Times New Roman"/>
          <w:highlight w:val="none"/>
        </w:rPr>
        <w:t>single</w:t>
      </w:r>
      <w:r>
        <w:rPr>
          <w:rFonts w:ascii="Times New Roman" w:hAnsi="Times New Roman" w:eastAsia="宋体" w:cs="Times New Roman"/>
          <w:highlight w:val="none"/>
        </w:rPr>
        <w:t xml:space="preserve"> cells</w:t>
      </w:r>
      <w:r>
        <w:rPr>
          <w:rFonts w:hint="eastAsia" w:ascii="Times New Roman" w:hAnsi="Times New Roman" w:eastAsia="宋体" w:cs="Times New Roman"/>
          <w:highlight w:val="none"/>
        </w:rPr>
        <w:t>, 3-5</w:t>
      </w:r>
      <w:r>
        <w:rPr>
          <w:rFonts w:ascii="Times New Roman" w:hAnsi="Times New Roman" w:eastAsia="宋体" w:cs="Times New Roman"/>
          <w:highlight w:val="none"/>
        </w:rPr>
        <w:t xml:space="preserve"> lymphocytes were </w:t>
      </w:r>
      <w:r>
        <w:rPr>
          <w:rFonts w:hint="eastAsia" w:ascii="Times New Roman" w:hAnsi="Times New Roman" w:eastAsia="宋体" w:cs="Times New Roman"/>
          <w:highlight w:val="none"/>
        </w:rPr>
        <w:t>amplified using</w:t>
      </w:r>
      <w:r>
        <w:rPr>
          <w:rFonts w:ascii="Times New Roman" w:hAnsi="Times New Roman" w:eastAsia="宋体" w:cs="Times New Roman"/>
          <w:highlight w:val="none"/>
        </w:rPr>
        <w:t xml:space="preserve"> the REPLI-g Single Cell Kit (QIAGEN, Hilden, Germany) </w:t>
      </w:r>
      <w:r>
        <w:rPr>
          <w:rFonts w:hint="eastAsia" w:ascii="Times New Roman" w:hAnsi="Times New Roman" w:eastAsia="宋体" w:cs="Times New Roman"/>
          <w:highlight w:val="none"/>
        </w:rPr>
        <w:t>following</w:t>
      </w:r>
      <w:r>
        <w:rPr>
          <w:rFonts w:ascii="Times New Roman" w:hAnsi="Times New Roman" w:eastAsia="宋体" w:cs="Times New Roman"/>
          <w:highlight w:val="none"/>
        </w:rPr>
        <w:t xml:space="preserve"> the manufacturer’s </w:t>
      </w:r>
      <w:r>
        <w:rPr>
          <w:rFonts w:hint="eastAsia" w:ascii="Times New Roman" w:hAnsi="Times New Roman" w:eastAsia="宋体" w:cs="Times New Roman"/>
          <w:highlight w:val="none"/>
        </w:rPr>
        <w:t>protocol</w:t>
      </w:r>
      <w:r>
        <w:rPr>
          <w:rFonts w:ascii="Times New Roman" w:hAnsi="Times New Roman" w:eastAsia="宋体" w:cs="Times New Roman"/>
          <w:highlight w:val="none"/>
        </w:rPr>
        <w:t>.</w:t>
      </w:r>
      <w:r>
        <w:rPr>
          <w:rFonts w:hint="eastAsia" w:ascii="Times New Roman" w:hAnsi="Times New Roman" w:eastAsia="宋体" w:cs="Times New Roman"/>
          <w:highlight w:val="none"/>
        </w:rPr>
        <w:t xml:space="preserve"> </w:t>
      </w:r>
      <w:bookmarkStart w:id="1" w:name="OLE_LINK19"/>
      <w:r>
        <w:rPr>
          <w:rFonts w:hint="eastAsia" w:ascii="Times New Roman" w:hAnsi="Times New Roman" w:eastAsia="宋体" w:cs="Times New Roman"/>
          <w:highlight w:val="none"/>
        </w:rPr>
        <w:t>T</w:t>
      </w:r>
      <w:r>
        <w:rPr>
          <w:rFonts w:ascii="Times New Roman" w:hAnsi="Times New Roman" w:eastAsia="宋体" w:cs="Times New Roman"/>
          <w:highlight w:val="none"/>
        </w:rPr>
        <w:t xml:space="preserve">he </w:t>
      </w:r>
      <w:r>
        <w:rPr>
          <w:rFonts w:ascii="Times New Roman" w:hAnsi="Times New Roman" w:eastAsia="宋体" w:cs="Times New Roman"/>
          <w:i/>
          <w:iCs/>
          <w:highlight w:val="none"/>
        </w:rPr>
        <w:t>MT-TL1</w:t>
      </w:r>
      <w:r>
        <w:rPr>
          <w:rFonts w:ascii="Times New Roman" w:hAnsi="Times New Roman" w:eastAsia="宋体" w:cs="Times New Roman"/>
          <w:highlight w:val="none"/>
        </w:rPr>
        <w:t xml:space="preserve"> m.3250T&gt;C variant in the WGA products </w:t>
      </w:r>
      <w:r>
        <w:rPr>
          <w:rFonts w:hint="eastAsia" w:ascii="Times New Roman" w:hAnsi="Times New Roman" w:eastAsia="宋体" w:cs="Times New Roman"/>
          <w:highlight w:val="none"/>
        </w:rPr>
        <w:t>was detected by t</w:t>
      </w:r>
      <w:r>
        <w:rPr>
          <w:rFonts w:ascii="Times New Roman" w:hAnsi="Times New Roman" w:eastAsia="宋体" w:cs="Times New Roman"/>
          <w:highlight w:val="none"/>
        </w:rPr>
        <w:t>argeted PCR</w:t>
      </w:r>
      <w:r>
        <w:rPr>
          <w:rFonts w:hint="eastAsia" w:ascii="Times New Roman" w:hAnsi="Times New Roman" w:eastAsia="宋体" w:cs="Times New Roman"/>
          <w:highlight w:val="none"/>
        </w:rPr>
        <w:t xml:space="preserve"> and </w:t>
      </w:r>
      <w:r>
        <w:rPr>
          <w:rFonts w:ascii="Times New Roman" w:hAnsi="Times New Roman" w:eastAsia="宋体" w:cs="Times New Roman"/>
          <w:highlight w:val="none"/>
        </w:rPr>
        <w:t>NGS</w:t>
      </w:r>
      <w:r>
        <w:rPr>
          <w:rFonts w:hint="eastAsia" w:ascii="Times New Roman" w:hAnsi="Times New Roman" w:eastAsia="宋体" w:cs="Times New Roman"/>
          <w:highlight w:val="none"/>
        </w:rPr>
        <w:t xml:space="preserve"> </w:t>
      </w:r>
      <w:r>
        <w:rPr>
          <w:rFonts w:ascii="Times New Roman" w:hAnsi="Times New Roman" w:eastAsia="宋体" w:cs="Times New Roman"/>
          <w:highlight w:val="none"/>
        </w:rPr>
        <w:t xml:space="preserve">as described in the </w:t>
      </w:r>
      <w:r>
        <w:rPr>
          <w:rFonts w:hint="eastAsia" w:ascii="Times New Roman" w:hAnsi="Times New Roman" w:eastAsia="宋体" w:cs="Times New Roman"/>
          <w:i/>
          <w:iCs/>
          <w:highlight w:val="none"/>
        </w:rPr>
        <w:t>mtDNA</w:t>
      </w:r>
      <w:r>
        <w:rPr>
          <w:rFonts w:ascii="Times New Roman" w:hAnsi="Times New Roman" w:eastAsia="宋体" w:cs="Times New Roman"/>
          <w:i/>
          <w:iCs/>
          <w:highlight w:val="none"/>
        </w:rPr>
        <w:t xml:space="preserve"> mutation</w:t>
      </w:r>
      <w:r>
        <w:rPr>
          <w:rFonts w:hint="eastAsia" w:ascii="Times New Roman" w:hAnsi="Times New Roman" w:eastAsia="宋体" w:cs="Times New Roman"/>
          <w:i/>
          <w:iCs/>
          <w:highlight w:val="none"/>
        </w:rPr>
        <w:t xml:space="preserve"> </w:t>
      </w:r>
      <w:r>
        <w:rPr>
          <w:rFonts w:ascii="Times New Roman" w:hAnsi="Times New Roman" w:eastAsia="宋体" w:cs="Times New Roman"/>
          <w:i/>
          <w:iCs/>
          <w:highlight w:val="none"/>
        </w:rPr>
        <w:t>targeted testing</w:t>
      </w:r>
      <w:r>
        <w:rPr>
          <w:rFonts w:ascii="Times New Roman" w:hAnsi="Times New Roman" w:eastAsia="宋体" w:cs="Times New Roman"/>
          <w:highlight w:val="none"/>
        </w:rPr>
        <w:t>.</w:t>
      </w:r>
      <w:bookmarkEnd w:id="1"/>
      <w:r>
        <w:rPr>
          <w:rFonts w:hint="eastAsia" w:ascii="Times New Roman" w:hAnsi="Times New Roman" w:eastAsia="宋体" w:cs="Times New Roman"/>
          <w:highlight w:val="none"/>
        </w:rPr>
        <w:t xml:space="preserve"> </w:t>
      </w:r>
      <w:r>
        <w:rPr>
          <w:rFonts w:ascii="Times New Roman" w:hAnsi="Times New Roman" w:eastAsia="宋体" w:cs="Times New Roman"/>
          <w:highlight w:val="none"/>
        </w:rPr>
        <w:t>Mutation loads were compared</w:t>
      </w:r>
      <w:r>
        <w:rPr>
          <w:rFonts w:hint="eastAsia" w:ascii="Times New Roman" w:hAnsi="Times New Roman" w:eastAsia="宋体" w:cs="Times New Roman"/>
          <w:highlight w:val="none"/>
        </w:rPr>
        <w:t xml:space="preserve"> </w:t>
      </w:r>
      <w:r>
        <w:rPr>
          <w:rFonts w:ascii="Times New Roman" w:hAnsi="Times New Roman" w:eastAsia="宋体" w:cs="Times New Roman"/>
          <w:highlight w:val="none"/>
        </w:rPr>
        <w:t>between</w:t>
      </w:r>
      <w:r>
        <w:rPr>
          <w:rFonts w:hint="eastAsia" w:ascii="Times New Roman" w:hAnsi="Times New Roman" w:eastAsia="宋体" w:cs="Times New Roman"/>
          <w:highlight w:val="none"/>
        </w:rPr>
        <w:t xml:space="preserve"> </w:t>
      </w:r>
      <w:r>
        <w:rPr>
          <w:rFonts w:ascii="Times New Roman" w:hAnsi="Times New Roman" w:eastAsia="宋体" w:cs="Times New Roman"/>
          <w:highlight w:val="none"/>
        </w:rPr>
        <w:t>lymphocytes and</w:t>
      </w:r>
      <w:r>
        <w:rPr>
          <w:rFonts w:hint="eastAsia" w:ascii="Times New Roman" w:hAnsi="Times New Roman" w:eastAsia="宋体" w:cs="Times New Roman"/>
          <w:highlight w:val="none"/>
        </w:rPr>
        <w:t xml:space="preserve"> </w:t>
      </w:r>
      <w:r>
        <w:rPr>
          <w:rFonts w:ascii="Times New Roman" w:hAnsi="Times New Roman" w:eastAsia="宋体" w:cs="Times New Roman"/>
          <w:highlight w:val="none"/>
        </w:rPr>
        <w:t>peripheral blood genomic DNA.</w:t>
      </w:r>
    </w:p>
    <w:p w14:paraId="028BFEFA">
      <w:pPr>
        <w:rPr>
          <w:rFonts w:ascii="Times New Roman" w:hAnsi="Times New Roman" w:eastAsia="宋体" w:cs="Times New Roman"/>
          <w:highlight w:val="none"/>
        </w:rPr>
      </w:pPr>
      <w:r>
        <w:rPr>
          <w:rFonts w:ascii="Times New Roman" w:hAnsi="Times New Roman" w:cs="Times New Roman"/>
          <w:b/>
          <w:sz w:val="20"/>
          <w:szCs w:val="20"/>
          <w:highlight w:val="none"/>
        </w:rPr>
        <w:t>Intracytoplasmic sperm injection, embryo biopsy and testing</w:t>
      </w:r>
    </w:p>
    <w:p w14:paraId="4FC15EE9">
      <w:pPr>
        <w:rPr>
          <w:rFonts w:ascii="Times New Roman" w:hAnsi="Times New Roman" w:cs="Times New Roman"/>
          <w:bCs/>
          <w:sz w:val="20"/>
          <w:szCs w:val="20"/>
          <w:highlight w:val="none"/>
        </w:rPr>
      </w:pPr>
      <w:r>
        <w:rPr>
          <w:rFonts w:ascii="Times New Roman" w:hAnsi="Times New Roman" w:cs="Times New Roman"/>
          <w:bCs/>
          <w:sz w:val="20"/>
          <w:szCs w:val="20"/>
          <w:highlight w:val="none"/>
        </w:rPr>
        <w:t>Ovarian stimulation</w:t>
      </w:r>
      <w:r>
        <w:rPr>
          <w:rFonts w:hint="eastAsia" w:ascii="Times New Roman" w:hAnsi="Times New Roman" w:cs="Times New Roman"/>
          <w:bCs/>
          <w:sz w:val="20"/>
          <w:szCs w:val="20"/>
          <w:highlight w:val="none"/>
        </w:rPr>
        <w:t>, i</w:t>
      </w:r>
      <w:r>
        <w:rPr>
          <w:rFonts w:ascii="Times New Roman" w:hAnsi="Times New Roman" w:cs="Times New Roman"/>
          <w:bCs/>
          <w:sz w:val="20"/>
          <w:szCs w:val="20"/>
          <w:highlight w:val="none"/>
        </w:rPr>
        <w:t xml:space="preserve">ntracytoplasmic sperm injection and embryo biopsy were carried out as previously described </w:t>
      </w:r>
      <w:r>
        <w:rPr>
          <w:rFonts w:hint="eastAsia" w:ascii="Times New Roman" w:hAnsi="Times New Roman" w:cs="Times New Roman"/>
          <w:bCs/>
          <w:sz w:val="20"/>
          <w:szCs w:val="20"/>
          <w:highlight w:val="none"/>
        </w:rPr>
        <w:t>[4]</w:t>
      </w:r>
      <w:r>
        <w:rPr>
          <w:rFonts w:ascii="Times New Roman" w:hAnsi="Times New Roman" w:cs="Times New Roman"/>
          <w:bCs/>
          <w:sz w:val="20"/>
          <w:szCs w:val="20"/>
          <w:highlight w:val="none"/>
        </w:rPr>
        <w:t>.</w:t>
      </w:r>
      <w:r>
        <w:rPr>
          <w:rFonts w:ascii="Times New Roman" w:hAnsi="Times New Roman" w:cs="Times New Roman"/>
          <w:bCs/>
          <w:sz w:val="20"/>
          <w:szCs w:val="20"/>
          <w:highlight w:val="none"/>
        </w:rPr>
        <w:t xml:space="preserve"> Prior to trophectoderm</w:t>
      </w:r>
      <w:r>
        <w:rPr>
          <w:rFonts w:hint="eastAsia" w:ascii="Times New Roman" w:hAnsi="Times New Roman" w:cs="Times New Roman"/>
          <w:bCs/>
          <w:sz w:val="20"/>
          <w:szCs w:val="20"/>
          <w:highlight w:val="none"/>
          <w:lang w:val="en-US" w:eastAsia="zh-CN"/>
        </w:rPr>
        <w:t xml:space="preserve"> (TE)</w:t>
      </w:r>
      <w:r>
        <w:rPr>
          <w:rFonts w:ascii="Times New Roman" w:hAnsi="Times New Roman" w:cs="Times New Roman"/>
          <w:bCs/>
          <w:sz w:val="20"/>
          <w:szCs w:val="20"/>
          <w:highlight w:val="none"/>
        </w:rPr>
        <w:t xml:space="preserve"> biopsy, </w:t>
      </w:r>
      <w:r>
        <w:rPr>
          <w:rFonts w:hint="eastAsia" w:ascii="Times New Roman" w:hAnsi="Times New Roman" w:cs="Times New Roman"/>
          <w:bCs/>
          <w:sz w:val="20"/>
          <w:szCs w:val="20"/>
          <w:highlight w:val="none"/>
          <w:lang w:val="en-US" w:eastAsia="zh-CN"/>
        </w:rPr>
        <w:t>b</w:t>
      </w:r>
      <w:r>
        <w:rPr>
          <w:rFonts w:ascii="Times New Roman" w:hAnsi="Times New Roman" w:cs="Times New Roman"/>
          <w:bCs/>
          <w:sz w:val="20"/>
          <w:szCs w:val="20"/>
          <w:highlight w:val="none"/>
        </w:rPr>
        <w:t>lastocyst quality was assessed using the Gardner morphological grading system, which evaluates three parameters: blastocoel expansion stage (1–6), inner cell mass (ICM) grade (A–C), and TE</w:t>
      </w:r>
      <w:r>
        <w:rPr>
          <w:rFonts w:hint="eastAsia" w:ascii="Times New Roman" w:hAnsi="Times New Roman" w:cs="Times New Roman"/>
          <w:bCs/>
          <w:sz w:val="20"/>
          <w:szCs w:val="20"/>
          <w:highlight w:val="none"/>
          <w:lang w:val="en-US" w:eastAsia="zh-CN"/>
        </w:rPr>
        <w:t xml:space="preserve"> </w:t>
      </w:r>
      <w:r>
        <w:rPr>
          <w:rFonts w:ascii="Times New Roman" w:hAnsi="Times New Roman" w:cs="Times New Roman"/>
          <w:bCs/>
          <w:sz w:val="20"/>
          <w:szCs w:val="20"/>
          <w:highlight w:val="none"/>
        </w:rPr>
        <w:t>grade (A–C)</w:t>
      </w:r>
      <w:r>
        <w:rPr>
          <w:rFonts w:hint="eastAsia" w:ascii="Times New Roman" w:hAnsi="Times New Roman" w:cs="Times New Roman"/>
          <w:bCs/>
          <w:sz w:val="20"/>
          <w:szCs w:val="20"/>
          <w:highlight w:val="none"/>
          <w:lang w:val="en-US" w:eastAsia="zh-CN"/>
        </w:rPr>
        <w:t xml:space="preserve"> [5]</w:t>
      </w:r>
      <w:r>
        <w:rPr>
          <w:rFonts w:ascii="Times New Roman" w:hAnsi="Times New Roman" w:cs="Times New Roman"/>
          <w:bCs/>
          <w:sz w:val="20"/>
          <w:szCs w:val="20"/>
          <w:highlight w:val="none"/>
        </w:rPr>
        <w:t>. Only blastocysts attaining an expansion grade of ≥4 on Days 5–7 underwent TE biopsy for genetic testing.</w:t>
      </w:r>
      <w:r>
        <w:rPr>
          <w:rFonts w:hint="eastAsia" w:ascii="Times New Roman" w:hAnsi="Times New Roman" w:cs="Times New Roman"/>
          <w:bCs/>
          <w:sz w:val="20"/>
          <w:szCs w:val="20"/>
          <w:highlight w:val="none"/>
          <w:lang w:val="en-US" w:eastAsia="zh-CN"/>
        </w:rPr>
        <w:t xml:space="preserve"> </w:t>
      </w:r>
      <w:r>
        <w:rPr>
          <w:rFonts w:ascii="Times New Roman" w:hAnsi="Times New Roman" w:cs="Times New Roman"/>
          <w:bCs/>
          <w:sz w:val="20"/>
          <w:szCs w:val="20"/>
          <w:highlight w:val="none"/>
        </w:rPr>
        <w:t xml:space="preserve">Approximately </w:t>
      </w:r>
      <w:r>
        <w:rPr>
          <w:rFonts w:hint="eastAsia" w:ascii="Times New Roman" w:hAnsi="Times New Roman" w:cs="Times New Roman"/>
          <w:bCs/>
          <w:sz w:val="20"/>
          <w:szCs w:val="20"/>
          <w:highlight w:val="none"/>
        </w:rPr>
        <w:t>3-5</w:t>
      </w:r>
      <w:r>
        <w:rPr>
          <w:rFonts w:ascii="Times New Roman" w:hAnsi="Times New Roman" w:cs="Times New Roman"/>
          <w:bCs/>
          <w:sz w:val="20"/>
          <w:szCs w:val="20"/>
          <w:highlight w:val="none"/>
        </w:rPr>
        <w:t xml:space="preserve"> </w:t>
      </w:r>
      <w:r>
        <w:rPr>
          <w:rFonts w:hint="eastAsia" w:ascii="Times New Roman" w:hAnsi="Times New Roman" w:cs="Times New Roman"/>
          <w:bCs/>
          <w:sz w:val="20"/>
          <w:szCs w:val="20"/>
          <w:highlight w:val="none"/>
        </w:rPr>
        <w:t>TE</w:t>
      </w:r>
      <w:r>
        <w:rPr>
          <w:rFonts w:ascii="Times New Roman" w:hAnsi="Times New Roman" w:cs="Times New Roman"/>
          <w:bCs/>
          <w:sz w:val="20"/>
          <w:szCs w:val="20"/>
          <w:highlight w:val="none"/>
        </w:rPr>
        <w:t xml:space="preserve"> cells were transferred into a</w:t>
      </w:r>
      <w:r>
        <w:rPr>
          <w:rFonts w:hint="eastAsia" w:ascii="Times New Roman" w:hAnsi="Times New Roman" w:cs="Times New Roman"/>
          <w:bCs/>
          <w:sz w:val="20"/>
          <w:szCs w:val="20"/>
          <w:highlight w:val="none"/>
        </w:rPr>
        <w:t xml:space="preserve"> </w:t>
      </w:r>
      <w:r>
        <w:rPr>
          <w:rFonts w:ascii="Times New Roman" w:hAnsi="Times New Roman" w:cs="Times New Roman"/>
          <w:bCs/>
          <w:sz w:val="20"/>
          <w:szCs w:val="20"/>
          <w:highlight w:val="none"/>
        </w:rPr>
        <w:t>0.2 mL tube</w:t>
      </w:r>
      <w:r>
        <w:rPr>
          <w:rFonts w:hint="eastAsia" w:ascii="Times New Roman" w:hAnsi="Times New Roman" w:cs="Times New Roman"/>
          <w:bCs/>
          <w:sz w:val="20"/>
          <w:szCs w:val="20"/>
          <w:highlight w:val="none"/>
        </w:rPr>
        <w:t>, and b</w:t>
      </w:r>
      <w:r>
        <w:rPr>
          <w:rFonts w:ascii="Times New Roman" w:hAnsi="Times New Roman" w:cs="Times New Roman"/>
          <w:bCs/>
          <w:sz w:val="20"/>
          <w:szCs w:val="20"/>
          <w:highlight w:val="none"/>
        </w:rPr>
        <w:t>lank culture medium</w:t>
      </w:r>
      <w:r>
        <w:rPr>
          <w:rFonts w:hint="eastAsia" w:ascii="Times New Roman" w:hAnsi="Times New Roman" w:cs="Times New Roman"/>
          <w:bCs/>
          <w:sz w:val="20"/>
          <w:szCs w:val="20"/>
          <w:highlight w:val="none"/>
        </w:rPr>
        <w:t xml:space="preserve"> </w:t>
      </w:r>
      <w:r>
        <w:rPr>
          <w:rFonts w:ascii="Times New Roman" w:hAnsi="Times New Roman" w:cs="Times New Roman"/>
          <w:bCs/>
          <w:sz w:val="20"/>
          <w:szCs w:val="20"/>
          <w:highlight w:val="none"/>
        </w:rPr>
        <w:t>w</w:t>
      </w:r>
      <w:r>
        <w:rPr>
          <w:rFonts w:hint="eastAsia" w:ascii="Times New Roman" w:hAnsi="Times New Roman" w:cs="Times New Roman"/>
          <w:bCs/>
          <w:sz w:val="20"/>
          <w:szCs w:val="20"/>
          <w:highlight w:val="none"/>
        </w:rPr>
        <w:t>as</w:t>
      </w:r>
      <w:r>
        <w:rPr>
          <w:rFonts w:ascii="Times New Roman" w:hAnsi="Times New Roman" w:cs="Times New Roman"/>
          <w:bCs/>
          <w:sz w:val="20"/>
          <w:szCs w:val="20"/>
          <w:highlight w:val="none"/>
        </w:rPr>
        <w:t xml:space="preserve"> collected to </w:t>
      </w:r>
      <w:r>
        <w:rPr>
          <w:rFonts w:hint="eastAsia" w:ascii="Times New Roman" w:hAnsi="Times New Roman" w:cs="Times New Roman"/>
          <w:bCs/>
          <w:sz w:val="20"/>
          <w:szCs w:val="20"/>
          <w:highlight w:val="none"/>
        </w:rPr>
        <w:t>rule out</w:t>
      </w:r>
      <w:r>
        <w:rPr>
          <w:rFonts w:ascii="Times New Roman" w:hAnsi="Times New Roman" w:cs="Times New Roman"/>
          <w:bCs/>
          <w:sz w:val="20"/>
          <w:szCs w:val="20"/>
          <w:highlight w:val="none"/>
        </w:rPr>
        <w:t xml:space="preserve"> potential contamination.</w:t>
      </w:r>
      <w:r>
        <w:rPr>
          <w:rFonts w:hint="eastAsia" w:ascii="Times New Roman" w:hAnsi="Times New Roman" w:cs="Times New Roman"/>
          <w:bCs/>
          <w:sz w:val="20"/>
          <w:szCs w:val="20"/>
          <w:highlight w:val="none"/>
        </w:rPr>
        <w:t xml:space="preserve"> </w:t>
      </w:r>
    </w:p>
    <w:p w14:paraId="48630349">
      <w:pPr>
        <w:ind w:firstLine="400" w:firstLineChars="200"/>
        <w:rPr>
          <w:rFonts w:ascii="Times New Roman" w:hAnsi="Times New Roman" w:cs="Times New Roman"/>
          <w:bCs/>
          <w:sz w:val="20"/>
          <w:szCs w:val="20"/>
          <w:highlight w:val="none"/>
        </w:rPr>
      </w:pPr>
      <w:r>
        <w:rPr>
          <w:rFonts w:hint="eastAsia" w:ascii="Times New Roman" w:hAnsi="Times New Roman" w:cs="Times New Roman"/>
          <w:bCs/>
          <w:sz w:val="20"/>
          <w:szCs w:val="20"/>
          <w:highlight w:val="none"/>
        </w:rPr>
        <w:t>Arrested embryos were individually collected and</w:t>
      </w:r>
      <w:r>
        <w:rPr>
          <w:rFonts w:ascii="Times New Roman" w:hAnsi="Times New Roman" w:cs="Times New Roman"/>
          <w:bCs/>
          <w:sz w:val="20"/>
          <w:szCs w:val="20"/>
          <w:highlight w:val="none"/>
        </w:rPr>
        <w:t xml:space="preserve"> subjected to MDA</w:t>
      </w:r>
      <w:r>
        <w:rPr>
          <w:rFonts w:ascii="Times New Roman" w:hAnsi="Times New Roman" w:cs="Times New Roman"/>
          <w:bCs/>
          <w:sz w:val="20"/>
          <w:szCs w:val="20"/>
          <w:highlight w:val="none"/>
        </w:rPr>
        <w:noBreakHyphen/>
      </w:r>
      <w:r>
        <w:rPr>
          <w:rFonts w:ascii="Times New Roman" w:hAnsi="Times New Roman" w:cs="Times New Roman"/>
          <w:bCs/>
          <w:sz w:val="20"/>
          <w:szCs w:val="20"/>
          <w:highlight w:val="none"/>
        </w:rPr>
        <w:t>based</w:t>
      </w:r>
      <w:r>
        <w:rPr>
          <w:rFonts w:hint="eastAsia" w:ascii="Times New Roman" w:hAnsi="Times New Roman" w:cs="Times New Roman"/>
          <w:bCs/>
          <w:sz w:val="20"/>
          <w:szCs w:val="20"/>
          <w:highlight w:val="none"/>
        </w:rPr>
        <w:t xml:space="preserve"> WGA</w:t>
      </w:r>
      <w:r>
        <w:rPr>
          <w:rFonts w:ascii="Times New Roman" w:hAnsi="Times New Roman" w:cs="Times New Roman"/>
          <w:bCs/>
          <w:sz w:val="20"/>
          <w:szCs w:val="20"/>
          <w:highlight w:val="none"/>
        </w:rPr>
        <w:t xml:space="preserve"> followed by m.3250T&gt;C mutation load</w:t>
      </w:r>
      <w:r>
        <w:rPr>
          <w:rFonts w:ascii="AdvOT6c9160b9" w:hAnsi="AdvOT6c9160b9"/>
          <w:color w:val="000000"/>
          <w:sz w:val="17"/>
          <w:szCs w:val="17"/>
          <w:highlight w:val="none"/>
        </w:rPr>
        <w:t xml:space="preserve"> </w:t>
      </w:r>
      <w:r>
        <w:rPr>
          <w:rFonts w:ascii="Times New Roman" w:hAnsi="Times New Roman" w:cs="Times New Roman"/>
          <w:bCs/>
          <w:sz w:val="20"/>
          <w:szCs w:val="20"/>
          <w:highlight w:val="none"/>
        </w:rPr>
        <w:t>quantification</w:t>
      </w:r>
      <w:r>
        <w:rPr>
          <w:rFonts w:hint="eastAsia" w:ascii="Times New Roman" w:hAnsi="Times New Roman" w:cs="Times New Roman"/>
          <w:bCs/>
          <w:sz w:val="20"/>
          <w:szCs w:val="20"/>
          <w:highlight w:val="none"/>
        </w:rPr>
        <w:t xml:space="preserve"> </w:t>
      </w:r>
      <w:r>
        <w:rPr>
          <w:rFonts w:ascii="Times New Roman" w:hAnsi="Times New Roman" w:cs="Times New Roman"/>
          <w:bCs/>
          <w:sz w:val="20"/>
          <w:szCs w:val="20"/>
          <w:highlight w:val="none"/>
        </w:rPr>
        <w:t>(</w:t>
      </w:r>
      <w:r>
        <w:rPr>
          <w:rFonts w:hint="eastAsia" w:ascii="Times New Roman" w:hAnsi="Times New Roman" w:cs="Times New Roman"/>
          <w:bCs/>
          <w:sz w:val="20"/>
          <w:szCs w:val="20"/>
          <w:highlight w:val="none"/>
        </w:rPr>
        <w:t xml:space="preserve">same as </w:t>
      </w:r>
      <w:r>
        <w:rPr>
          <w:rFonts w:hint="eastAsia" w:ascii="Times New Roman" w:hAnsi="Times New Roman" w:eastAsia="宋体" w:cs="Times New Roman"/>
          <w:i/>
          <w:iCs/>
          <w:highlight w:val="none"/>
        </w:rPr>
        <w:t>mtDNA</w:t>
      </w:r>
      <w:r>
        <w:rPr>
          <w:rFonts w:ascii="Times New Roman" w:hAnsi="Times New Roman" w:eastAsia="宋体" w:cs="Times New Roman"/>
          <w:i/>
          <w:iCs/>
          <w:highlight w:val="none"/>
        </w:rPr>
        <w:t xml:space="preserve"> mutation</w:t>
      </w:r>
      <w:r>
        <w:rPr>
          <w:rFonts w:hint="eastAsia" w:ascii="Times New Roman" w:hAnsi="Times New Roman" w:eastAsia="宋体" w:cs="Times New Roman"/>
          <w:i/>
          <w:iCs/>
          <w:highlight w:val="none"/>
        </w:rPr>
        <w:t xml:space="preserve"> </w:t>
      </w:r>
      <w:r>
        <w:rPr>
          <w:rFonts w:ascii="Times New Roman" w:hAnsi="Times New Roman" w:eastAsia="宋体" w:cs="Times New Roman"/>
          <w:i/>
          <w:iCs/>
          <w:highlight w:val="none"/>
        </w:rPr>
        <w:t>targeted testing</w:t>
      </w:r>
      <w:r>
        <w:rPr>
          <w:rFonts w:ascii="Times New Roman" w:hAnsi="Times New Roman" w:cs="Times New Roman"/>
          <w:bCs/>
          <w:sz w:val="20"/>
          <w:szCs w:val="20"/>
          <w:highlight w:val="none"/>
        </w:rPr>
        <w:t>).</w:t>
      </w:r>
      <w:r>
        <w:rPr>
          <w:rFonts w:hint="eastAsia" w:ascii="Times New Roman" w:hAnsi="Times New Roman" w:cs="Times New Roman"/>
          <w:bCs/>
          <w:sz w:val="20"/>
          <w:szCs w:val="20"/>
          <w:highlight w:val="none"/>
        </w:rPr>
        <w:t xml:space="preserve"> </w:t>
      </w:r>
      <w:r>
        <w:rPr>
          <w:rFonts w:ascii="Times New Roman" w:hAnsi="Times New Roman" w:cs="Times New Roman"/>
          <w:bCs/>
          <w:sz w:val="20"/>
          <w:szCs w:val="20"/>
          <w:highlight w:val="none"/>
        </w:rPr>
        <w:t xml:space="preserve">Biopsied TE samples were </w:t>
      </w:r>
      <w:r>
        <w:rPr>
          <w:rFonts w:hint="eastAsia" w:ascii="Times New Roman" w:hAnsi="Times New Roman" w:cs="Times New Roman"/>
          <w:bCs/>
          <w:sz w:val="20"/>
          <w:szCs w:val="20"/>
          <w:highlight w:val="none"/>
        </w:rPr>
        <w:t>also processed for</w:t>
      </w:r>
      <w:r>
        <w:rPr>
          <w:rFonts w:ascii="Times New Roman" w:hAnsi="Times New Roman" w:cs="Times New Roman"/>
          <w:bCs/>
          <w:sz w:val="20"/>
          <w:szCs w:val="20"/>
          <w:highlight w:val="none"/>
        </w:rPr>
        <w:t xml:space="preserve"> </w:t>
      </w:r>
      <w:r>
        <w:rPr>
          <w:rFonts w:hint="eastAsia" w:ascii="Times New Roman" w:hAnsi="Times New Roman" w:cs="Times New Roman"/>
          <w:bCs/>
          <w:sz w:val="20"/>
          <w:szCs w:val="20"/>
          <w:highlight w:val="none"/>
        </w:rPr>
        <w:t>WGA</w:t>
      </w:r>
      <w:r>
        <w:rPr>
          <w:rFonts w:ascii="Times New Roman" w:hAnsi="Times New Roman" w:cs="Times New Roman"/>
          <w:bCs/>
          <w:sz w:val="20"/>
          <w:szCs w:val="20"/>
          <w:highlight w:val="none"/>
        </w:rPr>
        <w:t>, followed by nuclear gene analysis, mitochondrial gene detection, and chromosomal screening.</w:t>
      </w:r>
      <w:r>
        <w:rPr>
          <w:rFonts w:hint="eastAsia" w:ascii="Times New Roman" w:hAnsi="Times New Roman" w:cs="Times New Roman"/>
          <w:bCs/>
          <w:sz w:val="20"/>
          <w:szCs w:val="20"/>
          <w:highlight w:val="none"/>
        </w:rPr>
        <w:t xml:space="preserve"> </w:t>
      </w:r>
      <w:r>
        <w:rPr>
          <w:rFonts w:ascii="Times New Roman" w:hAnsi="Times New Roman" w:cs="Times New Roman"/>
          <w:bCs/>
          <w:sz w:val="20"/>
          <w:szCs w:val="20"/>
          <w:highlight w:val="none"/>
        </w:rPr>
        <w:t xml:space="preserve">A portion of the MDA products was used for SNP haplotype construction of the </w:t>
      </w:r>
      <w:r>
        <w:rPr>
          <w:rFonts w:ascii="Times New Roman" w:hAnsi="Times New Roman" w:cs="Times New Roman"/>
          <w:bCs/>
          <w:i/>
          <w:iCs/>
          <w:sz w:val="20"/>
          <w:szCs w:val="20"/>
          <w:highlight w:val="none"/>
        </w:rPr>
        <w:t>RNASEH2C</w:t>
      </w:r>
      <w:r>
        <w:rPr>
          <w:rFonts w:ascii="Times New Roman" w:hAnsi="Times New Roman" w:cs="Times New Roman"/>
          <w:bCs/>
          <w:sz w:val="20"/>
          <w:szCs w:val="20"/>
          <w:highlight w:val="none"/>
        </w:rPr>
        <w:t xml:space="preserve"> gene (Peking Jabrehoo Med Tech Co. Ltd, Beijing, China)</w:t>
      </w:r>
      <w:r>
        <w:rPr>
          <w:rFonts w:hint="eastAsia" w:ascii="Times New Roman" w:hAnsi="Times New Roman" w:cs="Times New Roman"/>
          <w:bCs/>
          <w:sz w:val="20"/>
          <w:szCs w:val="20"/>
          <w:highlight w:val="none"/>
        </w:rPr>
        <w:t>, a</w:t>
      </w:r>
      <w:r>
        <w:rPr>
          <w:rFonts w:ascii="Times New Roman" w:hAnsi="Times New Roman" w:cs="Times New Roman"/>
          <w:bCs/>
          <w:sz w:val="20"/>
          <w:szCs w:val="20"/>
          <w:highlight w:val="none"/>
        </w:rPr>
        <w:t>nother portion for targeted PCR coupled with</w:t>
      </w:r>
      <w:r>
        <w:rPr>
          <w:rFonts w:hint="eastAsia" w:ascii="Times New Roman" w:hAnsi="Times New Roman" w:cs="Times New Roman"/>
          <w:bCs/>
          <w:sz w:val="20"/>
          <w:szCs w:val="20"/>
          <w:highlight w:val="none"/>
        </w:rPr>
        <w:t xml:space="preserve"> </w:t>
      </w:r>
      <w:r>
        <w:rPr>
          <w:rFonts w:ascii="Times New Roman" w:hAnsi="Times New Roman" w:cs="Times New Roman"/>
          <w:bCs/>
          <w:sz w:val="20"/>
          <w:szCs w:val="20"/>
          <w:highlight w:val="none"/>
        </w:rPr>
        <w:t>NGS</w:t>
      </w:r>
      <w:r>
        <w:rPr>
          <w:rFonts w:hint="eastAsia" w:ascii="Times New Roman" w:hAnsi="Times New Roman" w:cs="Times New Roman"/>
          <w:bCs/>
          <w:sz w:val="20"/>
          <w:szCs w:val="20"/>
          <w:highlight w:val="none"/>
        </w:rPr>
        <w:t xml:space="preserve"> </w:t>
      </w:r>
      <w:r>
        <w:rPr>
          <w:rFonts w:ascii="Times New Roman" w:hAnsi="Times New Roman" w:cs="Times New Roman"/>
          <w:bCs/>
          <w:sz w:val="20"/>
          <w:szCs w:val="20"/>
          <w:highlight w:val="none"/>
        </w:rPr>
        <w:t>to quantify the m.3250T&gt;C mutation load</w:t>
      </w:r>
      <w:r>
        <w:rPr>
          <w:rFonts w:hint="eastAsia" w:ascii="Times New Roman" w:hAnsi="Times New Roman" w:cs="Times New Roman"/>
          <w:bCs/>
          <w:sz w:val="20"/>
          <w:szCs w:val="20"/>
          <w:highlight w:val="none"/>
        </w:rPr>
        <w:t>, and</w:t>
      </w:r>
      <w:r>
        <w:rPr>
          <w:rFonts w:ascii="Times New Roman" w:hAnsi="Times New Roman" w:cs="Times New Roman"/>
          <w:bCs/>
          <w:sz w:val="20"/>
          <w:szCs w:val="20"/>
          <w:highlight w:val="none"/>
        </w:rPr>
        <w:t xml:space="preserve"> </w:t>
      </w:r>
      <w:r>
        <w:rPr>
          <w:rFonts w:hint="eastAsia" w:ascii="Times New Roman" w:hAnsi="Times New Roman" w:cs="Times New Roman"/>
          <w:bCs/>
          <w:sz w:val="20"/>
          <w:szCs w:val="20"/>
          <w:highlight w:val="none"/>
        </w:rPr>
        <w:t xml:space="preserve">a </w:t>
      </w:r>
      <w:r>
        <w:rPr>
          <w:rFonts w:ascii="Times New Roman" w:hAnsi="Times New Roman" w:cs="Times New Roman"/>
          <w:bCs/>
          <w:sz w:val="20"/>
          <w:szCs w:val="20"/>
          <w:highlight w:val="none"/>
        </w:rPr>
        <w:t>further portion for PGT</w:t>
      </w:r>
      <w:r>
        <w:rPr>
          <w:rFonts w:ascii="Times New Roman" w:hAnsi="Times New Roman" w:cs="Times New Roman"/>
          <w:bCs/>
          <w:sz w:val="20"/>
          <w:szCs w:val="20"/>
          <w:highlight w:val="none"/>
        </w:rPr>
        <w:noBreakHyphen/>
      </w:r>
      <w:r>
        <w:rPr>
          <w:rFonts w:ascii="Times New Roman" w:hAnsi="Times New Roman" w:cs="Times New Roman"/>
          <w:bCs/>
          <w:sz w:val="20"/>
          <w:szCs w:val="20"/>
          <w:highlight w:val="none"/>
        </w:rPr>
        <w:t>A as previously described [</w:t>
      </w:r>
      <w:r>
        <w:rPr>
          <w:rFonts w:hint="eastAsia" w:ascii="Times New Roman" w:hAnsi="Times New Roman" w:cs="Times New Roman"/>
          <w:bCs/>
          <w:sz w:val="20"/>
          <w:szCs w:val="20"/>
          <w:highlight w:val="none"/>
          <w:lang w:val="en-US" w:eastAsia="zh-CN"/>
        </w:rPr>
        <w:t>6</w:t>
      </w:r>
      <w:r>
        <w:rPr>
          <w:rFonts w:ascii="Times New Roman" w:hAnsi="Times New Roman" w:cs="Times New Roman"/>
          <w:bCs/>
          <w:sz w:val="20"/>
          <w:szCs w:val="20"/>
          <w:highlight w:val="none"/>
        </w:rPr>
        <w:t>].</w:t>
      </w:r>
      <w:r>
        <w:rPr>
          <w:rFonts w:hint="eastAsia" w:ascii="Times New Roman" w:hAnsi="Times New Roman" w:cs="Times New Roman"/>
          <w:bCs/>
          <w:sz w:val="20"/>
          <w:szCs w:val="20"/>
          <w:highlight w:val="none"/>
        </w:rPr>
        <w:t xml:space="preserve"> </w:t>
      </w:r>
      <w:r>
        <w:rPr>
          <w:rFonts w:ascii="Times New Roman" w:hAnsi="Times New Roman" w:cs="Times New Roman"/>
          <w:bCs/>
          <w:sz w:val="20"/>
          <w:szCs w:val="20"/>
          <w:highlight w:val="none"/>
        </w:rPr>
        <w:t>Only unaffected euploid embryos were selected for transfer.</w:t>
      </w:r>
      <w:r>
        <w:rPr>
          <w:rFonts w:hint="eastAsia" w:ascii="Times New Roman" w:hAnsi="Times New Roman" w:cs="Times New Roman"/>
          <w:bCs/>
          <w:sz w:val="20"/>
          <w:szCs w:val="20"/>
          <w:highlight w:val="none"/>
        </w:rPr>
        <w:t xml:space="preserve"> </w:t>
      </w:r>
      <w:r>
        <w:rPr>
          <w:rFonts w:ascii="Times New Roman" w:hAnsi="Times New Roman" w:cs="Times New Roman"/>
          <w:bCs/>
          <w:sz w:val="20"/>
          <w:szCs w:val="20"/>
          <w:highlight w:val="none"/>
        </w:rPr>
        <w:t xml:space="preserve">To </w:t>
      </w:r>
      <w:r>
        <w:rPr>
          <w:rFonts w:hint="eastAsia" w:ascii="Times New Roman" w:hAnsi="Times New Roman" w:cs="Times New Roman"/>
          <w:bCs/>
          <w:sz w:val="20"/>
          <w:szCs w:val="20"/>
          <w:highlight w:val="none"/>
        </w:rPr>
        <w:t>evaluate</w:t>
      </w:r>
      <w:r>
        <w:rPr>
          <w:rFonts w:ascii="Times New Roman" w:hAnsi="Times New Roman" w:cs="Times New Roman"/>
          <w:bCs/>
          <w:sz w:val="20"/>
          <w:szCs w:val="20"/>
          <w:highlight w:val="none"/>
        </w:rPr>
        <w:t xml:space="preserve"> the distribution of m.3250T&gt;C levels </w:t>
      </w:r>
      <w:r>
        <w:rPr>
          <w:rFonts w:hint="eastAsia" w:ascii="Times New Roman" w:hAnsi="Times New Roman" w:cs="Times New Roman"/>
          <w:bCs/>
          <w:sz w:val="20"/>
          <w:szCs w:val="20"/>
          <w:highlight w:val="none"/>
        </w:rPr>
        <w:t>in</w:t>
      </w:r>
      <w:r>
        <w:rPr>
          <w:rFonts w:ascii="Times New Roman" w:hAnsi="Times New Roman" w:cs="Times New Roman"/>
          <w:bCs/>
          <w:sz w:val="20"/>
          <w:szCs w:val="20"/>
          <w:highlight w:val="none"/>
        </w:rPr>
        <w:t xml:space="preserve"> blastocyst</w:t>
      </w:r>
      <w:r>
        <w:rPr>
          <w:rFonts w:hint="eastAsia" w:ascii="Times New Roman" w:hAnsi="Times New Roman" w:cs="Times New Roman"/>
          <w:bCs/>
          <w:sz w:val="20"/>
          <w:szCs w:val="20"/>
          <w:highlight w:val="none"/>
        </w:rPr>
        <w:t>s</w:t>
      </w:r>
      <w:r>
        <w:rPr>
          <w:rFonts w:ascii="Times New Roman" w:hAnsi="Times New Roman" w:cs="Times New Roman"/>
          <w:bCs/>
          <w:sz w:val="20"/>
          <w:szCs w:val="20"/>
          <w:highlight w:val="none"/>
        </w:rPr>
        <w:t>, non</w:t>
      </w:r>
      <w:r>
        <w:rPr>
          <w:rFonts w:ascii="Times New Roman" w:hAnsi="Times New Roman" w:cs="Times New Roman"/>
          <w:bCs/>
          <w:sz w:val="20"/>
          <w:szCs w:val="20"/>
          <w:highlight w:val="none"/>
        </w:rPr>
        <w:noBreakHyphen/>
      </w:r>
      <w:r>
        <w:rPr>
          <w:rFonts w:ascii="Times New Roman" w:hAnsi="Times New Roman" w:cs="Times New Roman"/>
          <w:bCs/>
          <w:sz w:val="20"/>
          <w:szCs w:val="20"/>
          <w:highlight w:val="none"/>
        </w:rPr>
        <w:t xml:space="preserve">transferable embryos were dissociated into single cells and allocated into tubes containing </w:t>
      </w:r>
      <w:r>
        <w:rPr>
          <w:rFonts w:ascii="Times New Roman" w:hAnsi="Times New Roman" w:cs="Times New Roman"/>
          <w:bCs/>
          <w:sz w:val="20"/>
          <w:szCs w:val="20"/>
          <w:highlight w:val="none"/>
          <w:lang w:val="en-US"/>
        </w:rPr>
        <w:t>three to five</w:t>
      </w:r>
      <w:r>
        <w:rPr>
          <w:rFonts w:ascii="Times New Roman" w:hAnsi="Times New Roman" w:cs="Times New Roman"/>
          <w:bCs/>
          <w:sz w:val="20"/>
          <w:szCs w:val="20"/>
          <w:highlight w:val="none"/>
        </w:rPr>
        <w:t xml:space="preserve"> cells per tube.</w:t>
      </w:r>
      <w:r>
        <w:rPr>
          <w:rFonts w:hint="eastAsia" w:ascii="Times New Roman" w:hAnsi="Times New Roman" w:cs="Times New Roman"/>
          <w:bCs/>
          <w:sz w:val="20"/>
          <w:szCs w:val="20"/>
          <w:highlight w:val="none"/>
        </w:rPr>
        <w:t xml:space="preserve"> After</w:t>
      </w:r>
      <w:r>
        <w:rPr>
          <w:rFonts w:ascii="Times New Roman" w:hAnsi="Times New Roman" w:cs="Times New Roman"/>
          <w:bCs/>
          <w:sz w:val="20"/>
          <w:szCs w:val="20"/>
          <w:highlight w:val="none"/>
        </w:rPr>
        <w:t xml:space="preserve"> MDA, mitochondrial mutation loads in these small cell samples were determined by PCR and NGS.</w:t>
      </w:r>
    </w:p>
    <w:p w14:paraId="1981F4EB">
      <w:pPr>
        <w:rPr>
          <w:rFonts w:ascii="Times New Roman" w:hAnsi="Times New Roman" w:cs="Times New Roman"/>
          <w:bCs/>
          <w:sz w:val="20"/>
          <w:szCs w:val="20"/>
          <w:highlight w:val="none"/>
        </w:rPr>
      </w:pPr>
      <w:r>
        <w:rPr>
          <w:rFonts w:hint="eastAsia" w:ascii="Times New Roman" w:hAnsi="Times New Roman" w:cs="Times New Roman"/>
          <w:b/>
          <w:bCs/>
          <w:sz w:val="20"/>
          <w:szCs w:val="20"/>
          <w:highlight w:val="none"/>
        </w:rPr>
        <w:t xml:space="preserve">Prenatal genetic diagnosis </w:t>
      </w:r>
      <w:r>
        <w:rPr>
          <w:rFonts w:ascii="Times New Roman" w:hAnsi="Times New Roman" w:eastAsia="宋体" w:cs="Times New Roman"/>
          <w:b/>
          <w:bCs/>
          <w:highlight w:val="none"/>
        </w:rPr>
        <w:t xml:space="preserve">and </w:t>
      </w:r>
      <w:r>
        <w:rPr>
          <w:rFonts w:hint="eastAsia" w:ascii="Times New Roman" w:hAnsi="Times New Roman" w:eastAsia="宋体" w:cs="Times New Roman"/>
          <w:b/>
          <w:bCs/>
          <w:highlight w:val="none"/>
        </w:rPr>
        <w:t>p</w:t>
      </w:r>
      <w:r>
        <w:rPr>
          <w:rFonts w:ascii="Times New Roman" w:hAnsi="Times New Roman" w:eastAsia="宋体" w:cs="Times New Roman"/>
          <w:b/>
          <w:bCs/>
          <w:highlight w:val="none"/>
        </w:rPr>
        <w:t xml:space="preserve">ostnatal </w:t>
      </w:r>
      <w:r>
        <w:rPr>
          <w:rFonts w:hint="eastAsia" w:ascii="Times New Roman" w:hAnsi="Times New Roman" w:eastAsia="宋体" w:cs="Times New Roman"/>
          <w:b/>
          <w:bCs/>
          <w:highlight w:val="none"/>
        </w:rPr>
        <w:t>f</w:t>
      </w:r>
      <w:r>
        <w:rPr>
          <w:rFonts w:ascii="Times New Roman" w:hAnsi="Times New Roman" w:eastAsia="宋体" w:cs="Times New Roman"/>
          <w:b/>
          <w:bCs/>
          <w:highlight w:val="none"/>
        </w:rPr>
        <w:t>ollow</w:t>
      </w:r>
      <w:r>
        <w:rPr>
          <w:rFonts w:ascii="Times New Roman" w:hAnsi="Times New Roman" w:eastAsia="宋体" w:cs="Times New Roman"/>
          <w:b/>
          <w:bCs/>
          <w:highlight w:val="none"/>
        </w:rPr>
        <w:noBreakHyphen/>
      </w:r>
      <w:r>
        <w:rPr>
          <w:rFonts w:ascii="Times New Roman" w:hAnsi="Times New Roman" w:eastAsia="宋体" w:cs="Times New Roman"/>
          <w:b/>
          <w:bCs/>
          <w:highlight w:val="none"/>
        </w:rPr>
        <w:t>up</w:t>
      </w:r>
    </w:p>
    <w:p w14:paraId="299D9657">
      <w:pPr>
        <w:rPr>
          <w:rFonts w:ascii="Times New Roman" w:hAnsi="Times New Roman" w:eastAsia="宋体" w:cs="Times New Roman"/>
          <w:highlight w:val="none"/>
        </w:rPr>
      </w:pPr>
      <w:r>
        <w:rPr>
          <w:rFonts w:ascii="Times New Roman" w:hAnsi="Times New Roman" w:eastAsia="宋体" w:cs="Times New Roman"/>
          <w:highlight w:val="none"/>
        </w:rPr>
        <w:t xml:space="preserve">Pregnancy outcomes were followed up as previously described </w:t>
      </w:r>
      <w:r>
        <w:rPr>
          <w:rFonts w:hint="eastAsia" w:ascii="Times New Roman" w:hAnsi="Times New Roman" w:eastAsia="宋体" w:cs="Times New Roman"/>
          <w:highlight w:val="none"/>
        </w:rPr>
        <w:t>[</w:t>
      </w:r>
      <w:r>
        <w:rPr>
          <w:rFonts w:hint="eastAsia" w:ascii="Times New Roman" w:hAnsi="Times New Roman" w:eastAsia="宋体" w:cs="Times New Roman"/>
          <w:highlight w:val="none"/>
          <w:lang w:val="en-US" w:eastAsia="zh-CN"/>
        </w:rPr>
        <w:t>7</w:t>
      </w:r>
      <w:r>
        <w:rPr>
          <w:rFonts w:hint="eastAsia" w:ascii="Times New Roman" w:hAnsi="Times New Roman" w:eastAsia="宋体" w:cs="Times New Roman"/>
          <w:highlight w:val="none"/>
        </w:rPr>
        <w:t>]</w:t>
      </w:r>
      <w:r>
        <w:rPr>
          <w:rFonts w:ascii="Times New Roman" w:hAnsi="Times New Roman" w:eastAsia="宋体" w:cs="Times New Roman"/>
          <w:highlight w:val="none"/>
        </w:rPr>
        <w:t>. To verify the PGT results, amniocentesis was performed at 17</w:t>
      </w:r>
      <w:r>
        <w:rPr>
          <w:rFonts w:hint="eastAsia" w:ascii="Times New Roman" w:hAnsi="Times New Roman" w:eastAsia="宋体" w:cs="Times New Roman"/>
          <w:highlight w:val="none"/>
        </w:rPr>
        <w:t>-</w:t>
      </w:r>
      <w:r>
        <w:rPr>
          <w:rFonts w:ascii="Times New Roman" w:hAnsi="Times New Roman" w:eastAsia="宋体" w:cs="Times New Roman"/>
          <w:highlight w:val="none"/>
        </w:rPr>
        <w:t>18 weeks of gestation. Chromosomal karyotyp</w:t>
      </w:r>
      <w:r>
        <w:rPr>
          <w:rFonts w:hint="eastAsia" w:ascii="Times New Roman" w:hAnsi="Times New Roman" w:eastAsia="宋体" w:cs="Times New Roman"/>
          <w:highlight w:val="none"/>
        </w:rPr>
        <w:t>ing</w:t>
      </w:r>
      <w:r>
        <w:rPr>
          <w:rFonts w:ascii="Times New Roman" w:hAnsi="Times New Roman" w:eastAsia="宋体" w:cs="Times New Roman"/>
          <w:highlight w:val="none"/>
        </w:rPr>
        <w:t xml:space="preserve"> was performed on amniotic fluid cells.</w:t>
      </w:r>
      <w:r>
        <w:rPr>
          <w:rFonts w:hint="eastAsia" w:ascii="Times New Roman" w:hAnsi="Times New Roman" w:eastAsia="宋体" w:cs="Times New Roman"/>
          <w:highlight w:val="none"/>
        </w:rPr>
        <w:t xml:space="preserve"> DNA was extracted from amniocytes for genetic analysis of the </w:t>
      </w:r>
      <w:r>
        <w:rPr>
          <w:rFonts w:hint="eastAsia" w:ascii="Times New Roman" w:hAnsi="Times New Roman" w:eastAsia="宋体" w:cs="Times New Roman"/>
          <w:i/>
          <w:iCs/>
          <w:highlight w:val="none"/>
        </w:rPr>
        <w:t xml:space="preserve">RNASEH2C </w:t>
      </w:r>
      <w:r>
        <w:rPr>
          <w:rFonts w:hint="eastAsia" w:ascii="Times New Roman" w:hAnsi="Times New Roman" w:eastAsia="宋体" w:cs="Times New Roman"/>
          <w:highlight w:val="none"/>
        </w:rPr>
        <w:t xml:space="preserve">c.194G&gt;A and c.433C&gt;T variants and the </w:t>
      </w:r>
      <w:r>
        <w:rPr>
          <w:rFonts w:hint="eastAsia" w:ascii="Times New Roman" w:hAnsi="Times New Roman" w:eastAsia="宋体" w:cs="Times New Roman"/>
          <w:i/>
          <w:iCs/>
          <w:highlight w:val="none"/>
        </w:rPr>
        <w:t xml:space="preserve">MT-TL1 </w:t>
      </w:r>
      <w:r>
        <w:rPr>
          <w:rFonts w:hint="eastAsia" w:ascii="Times New Roman" w:hAnsi="Times New Roman" w:eastAsia="宋体" w:cs="Times New Roman"/>
          <w:highlight w:val="none"/>
        </w:rPr>
        <w:t xml:space="preserve">m.3250T&gt;C mutation load. </w:t>
      </w:r>
      <w:r>
        <w:rPr>
          <w:rFonts w:ascii="Times New Roman" w:hAnsi="Times New Roman" w:eastAsia="宋体" w:cs="Times New Roman"/>
          <w:highlight w:val="none"/>
        </w:rPr>
        <w:t>Umbilical cord blood was collected at birth, and peripheral blood and oral mucosal cells were obtained at 2 years of age for re</w:t>
      </w:r>
      <w:r>
        <w:rPr>
          <w:rFonts w:ascii="Times New Roman" w:hAnsi="Times New Roman" w:eastAsia="宋体" w:cs="Times New Roman"/>
          <w:highlight w:val="none"/>
        </w:rPr>
        <w:noBreakHyphen/>
      </w:r>
      <w:r>
        <w:rPr>
          <w:rFonts w:ascii="Times New Roman" w:hAnsi="Times New Roman" w:eastAsia="宋体" w:cs="Times New Roman"/>
          <w:highlight w:val="none"/>
        </w:rPr>
        <w:t xml:space="preserve">analysis of </w:t>
      </w:r>
      <w:r>
        <w:rPr>
          <w:rFonts w:hint="eastAsia" w:ascii="Times New Roman" w:hAnsi="Times New Roman" w:eastAsia="宋体" w:cs="Times New Roman"/>
          <w:highlight w:val="none"/>
        </w:rPr>
        <w:t>mtDNA</w:t>
      </w:r>
      <w:r>
        <w:rPr>
          <w:rFonts w:ascii="Times New Roman" w:hAnsi="Times New Roman" w:eastAsia="宋体" w:cs="Times New Roman"/>
          <w:highlight w:val="none"/>
        </w:rPr>
        <w:t xml:space="preserve"> </w:t>
      </w:r>
      <w:r>
        <w:rPr>
          <w:rFonts w:hint="eastAsia" w:ascii="Times New Roman" w:hAnsi="Times New Roman" w:eastAsia="宋体" w:cs="Times New Roman"/>
          <w:highlight w:val="none"/>
        </w:rPr>
        <w:t>mutation levels</w:t>
      </w:r>
      <w:r>
        <w:rPr>
          <w:rFonts w:ascii="Times New Roman" w:hAnsi="Times New Roman" w:eastAsia="宋体" w:cs="Times New Roman"/>
          <w:highlight w:val="none"/>
        </w:rPr>
        <w:t>.</w:t>
      </w:r>
    </w:p>
    <w:p w14:paraId="1D9D5F93">
      <w:pPr>
        <w:rPr>
          <w:rFonts w:ascii="Times New Roman" w:hAnsi="Times New Roman" w:cs="Times New Roman"/>
          <w:b/>
          <w:bCs/>
          <w:sz w:val="20"/>
          <w:szCs w:val="20"/>
          <w:highlight w:val="none"/>
        </w:rPr>
      </w:pPr>
      <w:r>
        <w:rPr>
          <w:rFonts w:ascii="Times New Roman" w:hAnsi="Times New Roman" w:cs="Times New Roman"/>
          <w:b/>
          <w:bCs/>
          <w:sz w:val="20"/>
          <w:szCs w:val="20"/>
          <w:highlight w:val="none"/>
        </w:rPr>
        <w:t xml:space="preserve">Statistical </w:t>
      </w:r>
      <w:r>
        <w:rPr>
          <w:rFonts w:hint="eastAsia" w:ascii="Times New Roman" w:hAnsi="Times New Roman" w:cs="Times New Roman"/>
          <w:b/>
          <w:bCs/>
          <w:sz w:val="20"/>
          <w:szCs w:val="20"/>
          <w:highlight w:val="none"/>
        </w:rPr>
        <w:t>a</w:t>
      </w:r>
      <w:r>
        <w:rPr>
          <w:rFonts w:ascii="Times New Roman" w:hAnsi="Times New Roman" w:cs="Times New Roman"/>
          <w:b/>
          <w:bCs/>
          <w:sz w:val="20"/>
          <w:szCs w:val="20"/>
          <w:highlight w:val="none"/>
        </w:rPr>
        <w:t>nalysis</w:t>
      </w:r>
    </w:p>
    <w:p w14:paraId="37E9991C">
      <w:pPr>
        <w:rPr>
          <w:rFonts w:ascii="Times New Roman" w:hAnsi="Times New Roman" w:eastAsia="宋体" w:cs="Times New Roman"/>
          <w:highlight w:val="none"/>
        </w:rPr>
      </w:pPr>
      <w:r>
        <w:rPr>
          <w:rFonts w:hint="eastAsia" w:ascii="Times New Roman" w:hAnsi="Times New Roman" w:eastAsia="宋体" w:cs="Times New Roman"/>
          <w:highlight w:val="none"/>
        </w:rPr>
        <w:t>Data analysis was conducted using GraphPad Prism 10 (GraphPad Software, San Diego, CA, USA). Continuous data were expressed as mean±standard deviation (SD), and 95% confidence interval (CI) and coefficient of variation (CV) were calculated.</w:t>
      </w:r>
    </w:p>
    <w:p w14:paraId="60D688B0">
      <w:pPr>
        <w:rPr>
          <w:rFonts w:ascii="Times New Roman" w:hAnsi="Times New Roman" w:eastAsia="宋体" w:cs="Times New Roman"/>
          <w:highlight w:val="none"/>
        </w:rPr>
      </w:pPr>
    </w:p>
    <w:p w14:paraId="0821D3BE">
      <w:pPr>
        <w:rPr>
          <w:rFonts w:hint="eastAsia" w:ascii="Times New Roman" w:hAnsi="Times New Roman" w:eastAsia="宋体" w:cs="Times New Roman"/>
          <w:highlight w:val="none"/>
        </w:rPr>
      </w:pPr>
    </w:p>
    <w:p w14:paraId="3F6F993F">
      <w:pPr>
        <w:rPr>
          <w:rFonts w:hint="eastAsia" w:ascii="Times New Roman" w:hAnsi="Times New Roman" w:cs="Times New Roman"/>
          <w:b/>
          <w:bCs/>
          <w:highlight w:val="none"/>
        </w:rPr>
      </w:pPr>
      <w:r>
        <w:rPr>
          <w:rFonts w:hint="eastAsia" w:ascii="Times New Roman" w:hAnsi="Times New Roman" w:cs="Times New Roman"/>
          <w:b/>
          <w:bCs/>
          <w:highlight w:val="none"/>
        </w:rPr>
        <w:t>References</w:t>
      </w:r>
    </w:p>
    <w:p w14:paraId="060171D6">
      <w:pPr>
        <w:ind w:left="210" w:hanging="210" w:hangingChars="100"/>
        <w:rPr>
          <w:rFonts w:ascii="Times New Roman" w:hAnsi="Times New Roman" w:cs="Times New Roman"/>
          <w:highlight w:val="none"/>
        </w:rPr>
      </w:pPr>
      <w:r>
        <w:rPr>
          <w:rFonts w:ascii="Times New Roman" w:hAnsi="Times New Roman" w:cs="Times New Roman"/>
          <w:highlight w:val="none"/>
        </w:rPr>
        <w:t>1. Hu X, Wang W, Cheng D, Gu Y, Wan Z, Dai J, et al. Preimplantation genetic testing for facioscapulohumeral dystrophy caused by contractions of 4q35 D4Z4 repeats. Reprod Biomed Online. 2025;51:104879. https://doi.org/10.1016/j.rbmo.2025.104879.</w:t>
      </w:r>
    </w:p>
    <w:p w14:paraId="0078C423">
      <w:pPr>
        <w:ind w:left="210" w:hanging="210" w:hangingChars="100"/>
        <w:rPr>
          <w:rFonts w:ascii="Times New Roman" w:hAnsi="Times New Roman" w:cs="Times New Roman"/>
          <w:highlight w:val="none"/>
        </w:rPr>
      </w:pPr>
      <w:r>
        <w:rPr>
          <w:rFonts w:hint="eastAsia" w:ascii="Times New Roman" w:hAnsi="Times New Roman" w:cs="Times New Roman"/>
          <w:highlight w:val="none"/>
        </w:rPr>
        <w:t>2</w:t>
      </w:r>
      <w:r>
        <w:rPr>
          <w:rFonts w:ascii="Times New Roman" w:hAnsi="Times New Roman" w:cs="Times New Roman"/>
          <w:highlight w:val="none"/>
        </w:rPr>
        <w:t>. Richards S, Aziz N, Bale S, Bick D, Das S, Gastier-Foster J, et al. Standards and guidelines for the</w:t>
      </w:r>
      <w:r>
        <w:rPr>
          <w:rFonts w:hint="eastAsia" w:ascii="Times New Roman" w:hAnsi="Times New Roman" w:cs="Times New Roman"/>
          <w:highlight w:val="none"/>
        </w:rPr>
        <w:t xml:space="preserve"> </w:t>
      </w:r>
      <w:r>
        <w:rPr>
          <w:rFonts w:ascii="Times New Roman" w:hAnsi="Times New Roman" w:cs="Times New Roman"/>
          <w:highlight w:val="none"/>
        </w:rPr>
        <w:t>interpretation of sequence variants: a joint consensus recommendation of the American College of Medical Genetics and Genomics and the Association for Molecular Pathology. Genet Med. 2015;17:405-24. https://doi.org/10.1038/gim.2015.30.</w:t>
      </w:r>
    </w:p>
    <w:p w14:paraId="34091854">
      <w:pPr>
        <w:ind w:left="210" w:hanging="210" w:hangingChars="100"/>
        <w:rPr>
          <w:rFonts w:ascii="Times New Roman" w:hAnsi="Times New Roman" w:cs="Times New Roman"/>
          <w:highlight w:val="none"/>
        </w:rPr>
      </w:pPr>
      <w:r>
        <w:rPr>
          <w:rFonts w:hint="eastAsia" w:ascii="Times New Roman" w:hAnsi="Times New Roman" w:cs="Times New Roman"/>
          <w:highlight w:val="none"/>
        </w:rPr>
        <w:t>3</w:t>
      </w:r>
      <w:r>
        <w:rPr>
          <w:rFonts w:ascii="Times New Roman" w:hAnsi="Times New Roman" w:cs="Times New Roman"/>
          <w:highlight w:val="none"/>
        </w:rPr>
        <w:t>. Hu X, He WB, Zhang SP, Luo KL, Gong F, Dai J, et al. Next-generation sequence-based preimplantation genetic testing for monogenic disease resulting from maternal mosaicism. Mol Genet Genomic Med. 2021;9:e1662. https://doi.org/10.1002/mgg3.1662.</w:t>
      </w:r>
    </w:p>
    <w:p w14:paraId="5BF72F66">
      <w:pPr>
        <w:ind w:left="210" w:hanging="210" w:hangingChars="100"/>
        <w:rPr>
          <w:rFonts w:ascii="Times New Roman" w:hAnsi="Times New Roman" w:cs="Times New Roman"/>
          <w:highlight w:val="none"/>
        </w:rPr>
      </w:pPr>
      <w:r>
        <w:rPr>
          <w:rFonts w:hint="eastAsia" w:ascii="Times New Roman" w:hAnsi="Times New Roman" w:cs="Times New Roman"/>
          <w:highlight w:val="none"/>
        </w:rPr>
        <w:t>4</w:t>
      </w:r>
      <w:r>
        <w:rPr>
          <w:rFonts w:ascii="Times New Roman" w:hAnsi="Times New Roman" w:cs="Times New Roman"/>
          <w:highlight w:val="none"/>
        </w:rPr>
        <w:t>. Zhou S, Xie P, Zhang S, Hu L, Luo K, Gong F, et al. Complex mosaic blastocysts after preimplantation genetic testing: prevalence and outcomes after re-biopsy and re-vitrification. Reprod Biomed Online. 2021;43:215-222. https://doi.org/10.1016/j.rbmo.2021.04.006.</w:t>
      </w:r>
    </w:p>
    <w:p w14:paraId="0E6B2D5B">
      <w:pPr>
        <w:ind w:left="210" w:hanging="210" w:hangingChars="100"/>
        <w:rPr>
          <w:rFonts w:hint="eastAsia" w:ascii="Times New Roman" w:hAnsi="Times New Roman" w:cs="Times New Roman" w:eastAsiaTheme="minorEastAsia"/>
          <w:i w:val="0"/>
          <w:iCs w:val="0"/>
          <w:caps w:val="0"/>
          <w:spacing w:val="0"/>
          <w:sz w:val="21"/>
          <w:szCs w:val="22"/>
          <w:highlight w:val="none"/>
          <w:shd w:val="clear"/>
          <w:lang w:val="en-US" w:eastAsia="zh-CN"/>
        </w:rPr>
      </w:pPr>
      <w:r>
        <w:rPr>
          <w:rFonts w:hint="eastAsia" w:ascii="Times New Roman" w:hAnsi="Times New Roman" w:cs="Times New Roman"/>
          <w:i w:val="0"/>
          <w:iCs w:val="0"/>
          <w:caps w:val="0"/>
          <w:spacing w:val="0"/>
          <w:sz w:val="21"/>
          <w:szCs w:val="22"/>
          <w:highlight w:val="none"/>
          <w:shd w:val="clear"/>
          <w:lang w:val="en-US" w:eastAsia="zh-CN"/>
        </w:rPr>
        <w:t>5.</w:t>
      </w:r>
      <w:r>
        <w:rPr>
          <w:rFonts w:ascii="Times New Roman" w:hAnsi="Times New Roman" w:cs="Times New Roman" w:eastAsiaTheme="minorEastAsia"/>
          <w:i w:val="0"/>
          <w:iCs w:val="0"/>
          <w:caps w:val="0"/>
          <w:spacing w:val="0"/>
          <w:sz w:val="21"/>
          <w:szCs w:val="22"/>
          <w:highlight w:val="none"/>
          <w:shd w:val="clear"/>
        </w:rPr>
        <w:t>Gardner DK, Lane M, Stevens J, Schlenker T, Schoolcraft WB. Blastocyst score affects implantation and pregnancy outcome: towards a single blastocyst transfer. Fertil Steril. 2000;73:1155-</w:t>
      </w:r>
      <w:r>
        <w:rPr>
          <w:rFonts w:hint="default" w:ascii="Times New Roman" w:hAnsi="Times New Roman" w:cs="Times New Roman" w:eastAsiaTheme="minorEastAsia"/>
          <w:i w:val="0"/>
          <w:iCs w:val="0"/>
          <w:caps w:val="0"/>
          <w:spacing w:val="0"/>
          <w:sz w:val="21"/>
          <w:szCs w:val="22"/>
          <w:highlight w:val="none"/>
          <w:shd w:val="clear"/>
          <w:lang w:val="en-US" w:eastAsia="zh-CN"/>
        </w:rPr>
        <w:t>115</w:t>
      </w:r>
      <w:r>
        <w:rPr>
          <w:rFonts w:ascii="Times New Roman" w:hAnsi="Times New Roman" w:cs="Times New Roman" w:eastAsiaTheme="minorEastAsia"/>
          <w:i w:val="0"/>
          <w:iCs w:val="0"/>
          <w:caps w:val="0"/>
          <w:spacing w:val="0"/>
          <w:sz w:val="21"/>
          <w:szCs w:val="22"/>
          <w:highlight w:val="none"/>
          <w:shd w:val="clear"/>
        </w:rPr>
        <w:t xml:space="preserve">8. </w:t>
      </w:r>
      <w:r>
        <w:rPr>
          <w:rFonts w:hint="default" w:ascii="Times New Roman" w:hAnsi="Times New Roman" w:cs="Times New Roman" w:eastAsiaTheme="minorEastAsia"/>
          <w:i w:val="0"/>
          <w:iCs w:val="0"/>
          <w:caps w:val="0"/>
          <w:spacing w:val="0"/>
          <w:sz w:val="21"/>
          <w:szCs w:val="22"/>
          <w:highlight w:val="none"/>
          <w:shd w:val="clear"/>
        </w:rPr>
        <w:t>https://doi.org/10.1016/s0015-0282(00)00518-5</w:t>
      </w:r>
      <w:r>
        <w:rPr>
          <w:rFonts w:hint="eastAsia" w:ascii="Times New Roman" w:hAnsi="Times New Roman" w:cs="Times New Roman"/>
          <w:i w:val="0"/>
          <w:iCs w:val="0"/>
          <w:caps w:val="0"/>
          <w:spacing w:val="0"/>
          <w:sz w:val="21"/>
          <w:szCs w:val="22"/>
          <w:highlight w:val="none"/>
          <w:shd w:val="clear"/>
          <w:lang w:val="en-US" w:eastAsia="zh-CN"/>
        </w:rPr>
        <w:t>.</w:t>
      </w:r>
    </w:p>
    <w:p w14:paraId="34E23C14">
      <w:pPr>
        <w:ind w:left="210" w:hanging="210" w:hangingChars="100"/>
        <w:rPr>
          <w:rFonts w:ascii="Times New Roman" w:hAnsi="Times New Roman" w:cs="Times New Roman"/>
          <w:highlight w:val="none"/>
        </w:rPr>
      </w:pPr>
      <w:r>
        <w:rPr>
          <w:rFonts w:hint="eastAsia" w:ascii="Times New Roman" w:hAnsi="Times New Roman" w:cs="Times New Roman"/>
          <w:highlight w:val="none"/>
          <w:lang w:val="en-US" w:eastAsia="zh-CN"/>
        </w:rPr>
        <w:t>6</w:t>
      </w:r>
      <w:r>
        <w:rPr>
          <w:rFonts w:ascii="Times New Roman" w:hAnsi="Times New Roman" w:cs="Times New Roman"/>
          <w:highlight w:val="none"/>
        </w:rPr>
        <w:t>. Xie P, Liu P, Zhang S, Cheng D, Chen D, Tan YQ, et al. Segmental aneuploidies with 1 Mb resolution in human preimplantation blastocysts. Genet Med. 2022;24:2285-2295. https://doi.org/10.1016/j.gim.2022.08.008.</w:t>
      </w:r>
    </w:p>
    <w:p w14:paraId="66278928">
      <w:pPr>
        <w:ind w:left="210" w:hanging="210" w:hangingChars="100"/>
        <w:rPr>
          <w:rFonts w:ascii="Times New Roman" w:hAnsi="Times New Roman" w:cs="Times New Roman"/>
          <w:highlight w:val="none"/>
        </w:rPr>
      </w:pPr>
      <w:r>
        <w:rPr>
          <w:rFonts w:hint="eastAsia" w:ascii="Times New Roman" w:hAnsi="Times New Roman" w:cs="Times New Roman"/>
          <w:highlight w:val="none"/>
          <w:lang w:val="en-US" w:eastAsia="zh-CN"/>
        </w:rPr>
        <w:t>7</w:t>
      </w:r>
      <w:r>
        <w:rPr>
          <w:rFonts w:ascii="Times New Roman" w:hAnsi="Times New Roman" w:cs="Times New Roman"/>
          <w:highlight w:val="none"/>
        </w:rPr>
        <w:t>. Tan Y, Yin X, Zhang S, Jiang H, Tan K, Li J, et al. Clinical outcome of preimplantation genetic diagnosis and screening using next generation sequencing. Gigascience. 2014;3:30. https://doi.org/10.1186/2047-217X-3-30.</w:t>
      </w:r>
    </w:p>
    <w:p w14:paraId="3D705127">
      <w:pPr>
        <w:ind w:left="210" w:hanging="210" w:hangingChars="100"/>
        <w:rPr>
          <w:rFonts w:hint="eastAsia" w:ascii="Times New Roman" w:hAnsi="Times New Roman" w:cs="Times New Roman" w:eastAsiaTheme="minorEastAsia"/>
          <w:i w:val="0"/>
          <w:iCs w:val="0"/>
          <w:caps w:val="0"/>
          <w:color w:val="auto"/>
          <w:spacing w:val="0"/>
          <w:sz w:val="21"/>
          <w:szCs w:val="22"/>
          <w:highlight w:val="none"/>
          <w:shd w:val="clear" w:fill="auto"/>
          <w:lang w:val="en-US" w:eastAsia="zh-CN"/>
        </w:rPr>
      </w:pPr>
    </w:p>
    <w:sectPr>
      <w:pgSz w:w="11906" w:h="16838"/>
      <w:pgMar w:top="1440" w:right="1800" w:bottom="1440" w:left="1800" w:header="851" w:footer="992" w:gutter="0"/>
      <w:lnNumType w:countBy="1" w:restart="continuou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w:altName w:val="微软雅黑"/>
    <w:panose1 w:val="02010600030101010101"/>
    <w:charset w:val="86"/>
    <w:family w:val="auto"/>
    <w:pitch w:val="default"/>
    <w:sig w:usb0="00000000" w:usb1="00000000" w:usb2="00000016" w:usb3="00000000" w:csb0="0004000F" w:csb1="00000000"/>
  </w:font>
  <w:font w:name="微软雅黑">
    <w:panose1 w:val="020B0503020204020204"/>
    <w:charset w:val="86"/>
    <w:family w:val="auto"/>
    <w:pitch w:val="default"/>
    <w:sig w:usb0="80000287" w:usb1="280F3C52" w:usb2="00000016" w:usb3="00000000" w:csb0="0004001F" w:csb1="00000000"/>
  </w:font>
  <w:font w:name="等线 Light">
    <w:altName w:val="宋体"/>
    <w:panose1 w:val="02010600030101010101"/>
    <w:charset w:val="86"/>
    <w:family w:val="auto"/>
    <w:pitch w:val="default"/>
    <w:sig w:usb0="00000000" w:usb1="00000000" w:usb2="00000016" w:usb3="00000000" w:csb0="0004000F" w:csb1="00000000"/>
  </w:font>
  <w:font w:name="AdvOT6c9160b9">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2FF" w:usb1="400004FF" w:usb2="00000000" w:usb3="00000000" w:csb0="2000019F" w:csb1="00000000"/>
  </w:font>
  <w:font w:name="等线">
    <w:altName w:val="微软雅黑"/>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80E"/>
    <w:rsid w:val="00026D86"/>
    <w:rsid w:val="000955F7"/>
    <w:rsid w:val="001666AA"/>
    <w:rsid w:val="00365E24"/>
    <w:rsid w:val="00516D05"/>
    <w:rsid w:val="005A4479"/>
    <w:rsid w:val="00891AE8"/>
    <w:rsid w:val="0099054F"/>
    <w:rsid w:val="00A3780E"/>
    <w:rsid w:val="00B82819"/>
    <w:rsid w:val="00E35151"/>
    <w:rsid w:val="00F6356E"/>
    <w:rsid w:val="00F91C17"/>
    <w:rsid w:val="16F2119E"/>
    <w:rsid w:val="18213D7C"/>
    <w:rsid w:val="224A5530"/>
    <w:rsid w:val="37364124"/>
    <w:rsid w:val="374A21C0"/>
    <w:rsid w:val="37D5707A"/>
    <w:rsid w:val="3F336D45"/>
    <w:rsid w:val="59CB35ED"/>
    <w:rsid w:val="72855B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153"/>
        <w:tab w:val="right" w:pos="8306"/>
      </w:tabs>
      <w:snapToGrid w:val="0"/>
      <w:jc w:val="left"/>
    </w:pPr>
    <w:rPr>
      <w:sz w:val="18"/>
      <w:szCs w:val="18"/>
    </w:rPr>
  </w:style>
  <w:style w:type="paragraph" w:styleId="12">
    <w:name w:val="header"/>
    <w:basedOn w:val="1"/>
    <w:link w:val="36"/>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7">
    <w:name w:val="Hyperlink"/>
    <w:basedOn w:val="16"/>
    <w:semiHidden/>
    <w:unhideWhenUsed/>
    <w:qFormat/>
    <w:uiPriority w:val="99"/>
    <w:rPr>
      <w:color w:val="0000FF"/>
      <w:u w:val="single"/>
    </w:rPr>
  </w:style>
  <w:style w:type="character" w:customStyle="1" w:styleId="18">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6"/>
    <w:link w:val="5"/>
    <w:semiHidden/>
    <w:qFormat/>
    <w:uiPriority w:val="9"/>
    <w:rPr>
      <w:rFonts w:cstheme="majorBidi"/>
      <w:color w:val="104862" w:themeColor="accent1" w:themeShade="BF"/>
      <w:sz w:val="28"/>
      <w:szCs w:val="28"/>
    </w:rPr>
  </w:style>
  <w:style w:type="character" w:customStyle="1" w:styleId="22">
    <w:name w:val="标题 5 字符"/>
    <w:basedOn w:val="16"/>
    <w:link w:val="6"/>
    <w:semiHidden/>
    <w:qFormat/>
    <w:uiPriority w:val="9"/>
    <w:rPr>
      <w:rFonts w:cstheme="majorBidi"/>
      <w:color w:val="104862" w:themeColor="accent1" w:themeShade="BF"/>
      <w:sz w:val="24"/>
      <w:szCs w:val="24"/>
    </w:rPr>
  </w:style>
  <w:style w:type="character" w:customStyle="1" w:styleId="23">
    <w:name w:val="标题 6 字符"/>
    <w:basedOn w:val="16"/>
    <w:link w:val="7"/>
    <w:semiHidden/>
    <w:qFormat/>
    <w:uiPriority w:val="9"/>
    <w:rPr>
      <w:rFonts w:cstheme="majorBidi"/>
      <w:b/>
      <w:bCs/>
      <w:color w:val="104862" w:themeColor="accent1" w:themeShade="BF"/>
    </w:rPr>
  </w:style>
  <w:style w:type="character" w:customStyle="1" w:styleId="24">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6"/>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6"/>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6"/>
    <w:link w:val="33"/>
    <w:qFormat/>
    <w:uiPriority w:val="30"/>
    <w:rPr>
      <w:i/>
      <w:iCs/>
      <w:color w:val="104862" w:themeColor="accent1" w:themeShade="BF"/>
    </w:rPr>
  </w:style>
  <w:style w:type="character" w:customStyle="1" w:styleId="35">
    <w:name w:val="Intense Reference"/>
    <w:basedOn w:val="16"/>
    <w:qFormat/>
    <w:uiPriority w:val="32"/>
    <w:rPr>
      <w:b/>
      <w:bCs/>
      <w:smallCaps/>
      <w:color w:val="104862" w:themeColor="accent1" w:themeShade="BF"/>
      <w:spacing w:val="5"/>
    </w:rPr>
  </w:style>
  <w:style w:type="character" w:customStyle="1" w:styleId="36">
    <w:name w:val="页眉 字符"/>
    <w:basedOn w:val="16"/>
    <w:link w:val="12"/>
    <w:qFormat/>
    <w:uiPriority w:val="99"/>
    <w:rPr>
      <w:sz w:val="18"/>
      <w:szCs w:val="18"/>
    </w:rPr>
  </w:style>
  <w:style w:type="character" w:customStyle="1" w:styleId="37">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789</Words>
  <Characters>4627</Characters>
  <Lines>134</Lines>
  <Paragraphs>60</Paragraphs>
  <TotalTime>4</TotalTime>
  <ScaleCrop>false</ScaleCrop>
  <LinksUpToDate>false</LinksUpToDate>
  <CharactersWithSpaces>5402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2026-05-17T03:42:00Z</dcterms:created>
  <dc:creator>晓 胡</dc:creator>
  <cp:lastModifiedBy>胡晓</cp:lastModifiedBy>
  <dcterms:modified xsi:type="dcterms:W3CDTF">2026-09-29T09:15:23Z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eyJoZGlkIjoiMzFlYjJmN2I1MmM3Y2FhYzZiYmU2MGY1ZjFjNzE2NDAiLCJ1c2VySWQiOiIxMDYwNDEyNjMxIn0=</vt:lpwstr>
  </property>
  <property fmtid="{D5CDD505-2E9C-101B-9397-08002B2CF9AE}" pid="3" name="KSOProductBuildVer">
    <vt:lpwstr>2052-12.1.0.28505</vt:lpwstr>
  </property>
  <property fmtid="{D5CDD505-2E9C-101B-9397-08002B2CF9AE}" pid="4" name="ICV">
    <vt:lpwstr>A059DBB3903341ED9043D0127C8B337A_13</vt:lpwstr>
  </property>
</Properties>
</file>