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748"/>
        <w:tblW w:w="9170" w:type="dxa"/>
        <w:tblLook w:val="04A0" w:firstRow="1" w:lastRow="0" w:firstColumn="1" w:lastColumn="0" w:noHBand="0" w:noVBand="1"/>
      </w:tblPr>
      <w:tblGrid>
        <w:gridCol w:w="4585"/>
        <w:gridCol w:w="4585"/>
      </w:tblGrid>
      <w:tr w:rsidR="00760386" w:rsidTr="00FB6904">
        <w:trPr>
          <w:trHeight w:val="432"/>
        </w:trPr>
        <w:tc>
          <w:tcPr>
            <w:tcW w:w="4585" w:type="dxa"/>
          </w:tcPr>
          <w:p w:rsidR="00760386" w:rsidRPr="00760386" w:rsidRDefault="00760386" w:rsidP="00FB6904">
            <w:pPr>
              <w:rPr>
                <w:lang w:val="en-US"/>
              </w:rPr>
            </w:pPr>
            <w:r>
              <w:rPr>
                <w:lang w:val="en-US"/>
              </w:rPr>
              <w:t>Composantes du COSO</w:t>
            </w:r>
          </w:p>
        </w:tc>
        <w:tc>
          <w:tcPr>
            <w:tcW w:w="4585" w:type="dxa"/>
          </w:tcPr>
          <w:p w:rsidR="00760386" w:rsidRPr="00760386" w:rsidRDefault="00760386" w:rsidP="00FB6904">
            <w:pPr>
              <w:rPr>
                <w:lang w:val="en-US"/>
              </w:rPr>
            </w:pPr>
            <w:r>
              <w:rPr>
                <w:lang w:val="en-US"/>
              </w:rPr>
              <w:t>Principes</w:t>
            </w:r>
          </w:p>
        </w:tc>
      </w:tr>
      <w:tr w:rsidR="00760386" w:rsidTr="00FB6904">
        <w:trPr>
          <w:trHeight w:val="432"/>
        </w:trPr>
        <w:tc>
          <w:tcPr>
            <w:tcW w:w="4585" w:type="dxa"/>
          </w:tcPr>
          <w:p w:rsidR="00760386" w:rsidRPr="00760386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Environnement de contrôle</w:t>
            </w:r>
          </w:p>
        </w:tc>
        <w:tc>
          <w:tcPr>
            <w:tcW w:w="4585" w:type="dxa"/>
          </w:tcPr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Intégrité et valeurs éthiques</w:t>
            </w:r>
          </w:p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Indépendance du conseil d’administration</w:t>
            </w:r>
          </w:p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Structure organisationnelle et responsabilités</w:t>
            </w:r>
          </w:p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Compétence du personnel</w:t>
            </w:r>
          </w:p>
          <w:p w:rsidR="00760386" w:rsidRPr="00760386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Responsabilisation (accountability)</w:t>
            </w:r>
          </w:p>
        </w:tc>
      </w:tr>
      <w:tr w:rsidR="00760386" w:rsidTr="00FB6904">
        <w:trPr>
          <w:trHeight w:val="451"/>
        </w:trPr>
        <w:tc>
          <w:tcPr>
            <w:tcW w:w="4585" w:type="dxa"/>
          </w:tcPr>
          <w:p w:rsidR="00760386" w:rsidRPr="00760386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Évaluation des risques</w:t>
            </w:r>
          </w:p>
        </w:tc>
        <w:tc>
          <w:tcPr>
            <w:tcW w:w="4585" w:type="dxa"/>
          </w:tcPr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Définition des objectifs</w:t>
            </w:r>
          </w:p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Identification et analyse des risques</w:t>
            </w:r>
          </w:p>
          <w:p w:rsidR="00855FC1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Analyse du risque de fraude</w:t>
            </w:r>
          </w:p>
          <w:p w:rsidR="00760386" w:rsidRPr="00760386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Identification des changements significatifs</w:t>
            </w:r>
          </w:p>
        </w:tc>
      </w:tr>
      <w:tr w:rsidR="00760386" w:rsidTr="00FB6904">
        <w:trPr>
          <w:trHeight w:val="432"/>
        </w:trPr>
        <w:tc>
          <w:tcPr>
            <w:tcW w:w="4585" w:type="dxa"/>
          </w:tcPr>
          <w:p w:rsidR="00760386" w:rsidRPr="00855FC1" w:rsidRDefault="00855FC1" w:rsidP="00FB6904">
            <w:pPr>
              <w:rPr>
                <w:lang w:val="en-US"/>
              </w:rPr>
            </w:pPr>
            <w:r w:rsidRPr="00855FC1">
              <w:rPr>
                <w:lang w:val="en-US"/>
              </w:rPr>
              <w:t>Activités de contrôle</w:t>
            </w:r>
          </w:p>
        </w:tc>
        <w:tc>
          <w:tcPr>
            <w:tcW w:w="4585" w:type="dxa"/>
          </w:tcPr>
          <w:p w:rsidR="00855FC1" w:rsidRDefault="00855FC1" w:rsidP="00FB6904">
            <w:r>
              <w:t>Mise en place d’activités de contrôle</w:t>
            </w:r>
          </w:p>
          <w:p w:rsidR="00855FC1" w:rsidRDefault="00855FC1" w:rsidP="00FB6904">
            <w:r>
              <w:t>Contrôles généraux informatiques</w:t>
            </w:r>
          </w:p>
          <w:p w:rsidR="00760386" w:rsidRDefault="00855FC1" w:rsidP="00FB6904">
            <w:r>
              <w:t>Déploiement des procédures et politiques</w:t>
            </w:r>
          </w:p>
        </w:tc>
      </w:tr>
      <w:tr w:rsidR="00760386" w:rsidTr="00FB6904">
        <w:trPr>
          <w:trHeight w:val="432"/>
        </w:trPr>
        <w:tc>
          <w:tcPr>
            <w:tcW w:w="4585" w:type="dxa"/>
          </w:tcPr>
          <w:p w:rsidR="00760386" w:rsidRDefault="00855FC1" w:rsidP="00FB6904">
            <w:r w:rsidRPr="00855FC1">
              <w:t>Information et communication</w:t>
            </w:r>
          </w:p>
        </w:tc>
        <w:tc>
          <w:tcPr>
            <w:tcW w:w="4585" w:type="dxa"/>
          </w:tcPr>
          <w:p w:rsidR="00855FC1" w:rsidRDefault="00855FC1" w:rsidP="00FB6904">
            <w:r>
              <w:t>Information pertinente et de qualité</w:t>
            </w:r>
          </w:p>
          <w:p w:rsidR="00855FC1" w:rsidRDefault="00855FC1" w:rsidP="00FB6904">
            <w:r>
              <w:t>Communication interne</w:t>
            </w:r>
          </w:p>
          <w:p w:rsidR="00760386" w:rsidRDefault="00855FC1" w:rsidP="00FB6904">
            <w:r>
              <w:t>Communication externe</w:t>
            </w:r>
          </w:p>
        </w:tc>
      </w:tr>
      <w:tr w:rsidR="00760386" w:rsidTr="00FB6904">
        <w:trPr>
          <w:trHeight w:val="432"/>
        </w:trPr>
        <w:tc>
          <w:tcPr>
            <w:tcW w:w="4585" w:type="dxa"/>
          </w:tcPr>
          <w:p w:rsidR="00760386" w:rsidRDefault="00855FC1" w:rsidP="00FB6904">
            <w:r w:rsidRPr="00855FC1">
              <w:t>Pilotage / Monitoring</w:t>
            </w:r>
          </w:p>
        </w:tc>
        <w:tc>
          <w:tcPr>
            <w:tcW w:w="4585" w:type="dxa"/>
          </w:tcPr>
          <w:p w:rsidR="00855FC1" w:rsidRDefault="00855FC1" w:rsidP="00FB6904">
            <w:r>
              <w:t>Évaluations continues ou ponctuelles</w:t>
            </w:r>
          </w:p>
          <w:p w:rsidR="00760386" w:rsidRDefault="00855FC1" w:rsidP="00FB6904">
            <w:r>
              <w:t>Communication des déficiences</w:t>
            </w:r>
          </w:p>
        </w:tc>
      </w:tr>
    </w:tbl>
    <w:p w:rsidR="00FB6904" w:rsidRDefault="00FB6904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NOM</w:t>
      </w:r>
      <w:r>
        <w:rPr>
          <w:b/>
          <w:bCs/>
          <w:lang w:val="en-US"/>
        </w:rPr>
        <w:t>: AWAGMO AGUEGMO FRESNEL LOIC</w:t>
      </w:r>
    </w:p>
    <w:p w:rsidR="00FB6904" w:rsidRDefault="00FB6904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Filere et Matricule:</w:t>
      </w:r>
      <w:r>
        <w:rPr>
          <w:b/>
          <w:bCs/>
          <w:lang w:val="en-US"/>
        </w:rPr>
        <w:t>Data science  23P143</w:t>
      </w:r>
    </w:p>
    <w:p w:rsidR="00FB6904" w:rsidRPr="00FB6904" w:rsidRDefault="00FB6904">
      <w:pPr>
        <w:rPr>
          <w:lang w:val="en-US"/>
        </w:rPr>
      </w:pPr>
      <w:r>
        <w:rPr>
          <w:lang w:val="en-US"/>
        </w:rPr>
        <w:t>Exercice: cites les 5 composantes du COSO et les 17 principes</w:t>
      </w:r>
    </w:p>
    <w:p w:rsidR="00FB6904" w:rsidRDefault="00FB6904" w:rsidP="00FB6904"/>
    <w:p w:rsidR="00FB6904" w:rsidRDefault="00FB6904" w:rsidP="00FB6904">
      <w:bookmarkStart w:id="0" w:name="_GoBack"/>
      <w:bookmarkEnd w:id="0"/>
    </w:p>
    <w:p w:rsidR="00FB6904" w:rsidRDefault="00FB6904" w:rsidP="00FB6904">
      <w:r>
        <w:t xml:space="preserve">Où classer les bordereaux de transmission </w:t>
      </w:r>
    </w:p>
    <w:p w:rsidR="00FB6904" w:rsidRDefault="00FB6904" w:rsidP="00FB6904">
      <w:r>
        <w:t xml:space="preserve"> Les bordereaux de transmission servent à :</w:t>
      </w:r>
    </w:p>
    <w:p w:rsidR="00FB6904" w:rsidRDefault="00FB6904" w:rsidP="00FB6904">
      <w:r>
        <w:t>tracer la circulation des documents</w:t>
      </w:r>
    </w:p>
    <w:p w:rsidR="00FB6904" w:rsidRDefault="00FB6904" w:rsidP="00FB6904">
      <w:r>
        <w:t>assurer que l’information arrive au bon destinataire</w:t>
      </w:r>
    </w:p>
    <w:p w:rsidR="00FB6904" w:rsidRDefault="00FB6904" w:rsidP="00FB6904">
      <w:r>
        <w:t>formaliser la communication interne</w:t>
      </w:r>
    </w:p>
    <w:p w:rsidR="00FB6904" w:rsidRDefault="00FB6904" w:rsidP="00FB6904">
      <w:r>
        <w:t xml:space="preserve"> Donc ils doivent être classés dans la composante :Information et communication </w:t>
      </w:r>
    </w:p>
    <w:sectPr w:rsidR="00FB6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86"/>
    <w:rsid w:val="00760386"/>
    <w:rsid w:val="00855FC1"/>
    <w:rsid w:val="00FB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08E6"/>
  <w15:chartTrackingRefBased/>
  <w15:docId w15:val="{DD07F836-DB7D-4655-A328-5F4A2713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0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Fresnel</dc:creator>
  <cp:keywords/>
  <dc:description/>
  <cp:lastModifiedBy>Fresnel</cp:lastModifiedBy>
  <cp:revision>1</cp:revision>
  <dcterms:created xsi:type="dcterms:W3CDTF">2026-03-23T00:02:00Z</dcterms:created>
  <dcterms:modified xsi:type="dcterms:W3CDTF">2026-03-23T00:30:00Z</dcterms:modified>
</cp:coreProperties>
</file>